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F305BB" w:rsidRPr="00A14C1A" w:rsidP="00A14C1A" w14:paraId="03B939C5" w14:textId="5FF05C94">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xmlns:r="http://schemas.openxmlformats.org/officeDocument/2006/relationships" r:embed="rId5"/>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Pr="00A14C1A" w:rsidP="00A14C1A" w14:paraId="718BC016" w14:textId="231C86B7">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9"/>
        <w:gridCol w:w="4523"/>
      </w:tblGrid>
      <w:tr w14:paraId="5637B22F" w14:textId="77777777" w:rsidTr="007B6C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tcPr>
          <w:p w:rsidR="00F305BB" w:rsidRPr="007B6C7D" w:rsidP="002C28B6" w14:paraId="1955011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P="007B6C7D" w14:paraId="6D183F0C" w14:textId="77777777">
            <w:pPr>
              <w:tabs>
                <w:tab w:val="left" w:pos="4007"/>
              </w:tabs>
              <w:spacing w:after="0" w:line="240" w:lineRule="auto"/>
              <w:rPr>
                <w:rFonts w:ascii="Times New Roman" w:hAnsi="Times New Roman"/>
              </w:rPr>
            </w:pPr>
            <w:r w:rsidRPr="007B6C7D">
              <w:rPr>
                <w:rFonts w:ascii="Times New Roman" w:hAnsi="Times New Roman"/>
              </w:rPr>
              <w:t>Vzdelávanie</w:t>
            </w:r>
          </w:p>
        </w:tc>
      </w:tr>
      <w:tr w14:paraId="4A17F44A" w14:textId="77777777" w:rsidTr="007B6C7D">
        <w:tblPrEx>
          <w:tblW w:w="0" w:type="auto"/>
          <w:tblLook w:val="00A0"/>
        </w:tblPrEx>
        <w:tc>
          <w:tcPr>
            <w:tcW w:w="4606" w:type="dxa"/>
          </w:tcPr>
          <w:p w:rsidR="00F305BB" w:rsidRPr="007B6C7D" w:rsidP="002C28B6" w14:paraId="31BB949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P="001620FF" w14:paraId="0440EEDB" w14:textId="77777777">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14:paraId="305AF887" w14:textId="77777777" w:rsidTr="007B6C7D">
        <w:tblPrEx>
          <w:tblW w:w="0" w:type="auto"/>
          <w:tblLook w:val="00A0"/>
        </w:tblPrEx>
        <w:tc>
          <w:tcPr>
            <w:tcW w:w="4606" w:type="dxa"/>
          </w:tcPr>
          <w:p w:rsidR="00F305BB" w:rsidRPr="007B6C7D" w:rsidP="002C28B6" w14:paraId="1403A595"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P="007B6C7D" w14:paraId="6AF411C7" w14:textId="77777777">
            <w:pPr>
              <w:tabs>
                <w:tab w:val="left" w:pos="4007"/>
              </w:tabs>
              <w:spacing w:after="0" w:line="240" w:lineRule="auto"/>
            </w:pPr>
            <w:r>
              <w:t>Gymnázium</w:t>
            </w:r>
          </w:p>
        </w:tc>
      </w:tr>
      <w:tr w14:paraId="13102202" w14:textId="77777777" w:rsidTr="007B6C7D">
        <w:tblPrEx>
          <w:tblW w:w="0" w:type="auto"/>
          <w:tblLook w:val="00A0"/>
        </w:tblPrEx>
        <w:tc>
          <w:tcPr>
            <w:tcW w:w="4606" w:type="dxa"/>
          </w:tcPr>
          <w:p w:rsidR="00F305BB" w:rsidRPr="007B6C7D" w:rsidP="002C28B6" w14:paraId="2CFD28FD"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P="007B6C7D" w14:paraId="071A3281" w14:textId="77777777">
            <w:pPr>
              <w:tabs>
                <w:tab w:val="left" w:pos="4007"/>
              </w:tabs>
              <w:spacing w:after="0" w:line="240" w:lineRule="auto"/>
            </w:pPr>
            <w:r>
              <w:t>Gymza číta, počíta a báda</w:t>
            </w:r>
          </w:p>
        </w:tc>
      </w:tr>
      <w:tr w14:paraId="1F8AE32C" w14:textId="77777777" w:rsidTr="007B6C7D">
        <w:tblPrEx>
          <w:tblW w:w="0" w:type="auto"/>
          <w:tblLook w:val="00A0"/>
        </w:tblPrEx>
        <w:tc>
          <w:tcPr>
            <w:tcW w:w="4606" w:type="dxa"/>
          </w:tcPr>
          <w:p w:rsidR="00F305BB" w:rsidRPr="007B6C7D" w:rsidP="002C28B6" w14:paraId="6CF56178"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P="007B6C7D" w14:paraId="1CA92205" w14:textId="77777777">
            <w:pPr>
              <w:tabs>
                <w:tab w:val="left" w:pos="4007"/>
              </w:tabs>
              <w:spacing w:after="0" w:line="240" w:lineRule="auto"/>
            </w:pPr>
            <w:r>
              <w:t>312011U517</w:t>
            </w:r>
          </w:p>
        </w:tc>
      </w:tr>
      <w:tr w14:paraId="60225145" w14:textId="77777777" w:rsidTr="007B6C7D">
        <w:tblPrEx>
          <w:tblW w:w="0" w:type="auto"/>
          <w:tblLook w:val="00A0"/>
        </w:tblPrEx>
        <w:tc>
          <w:tcPr>
            <w:tcW w:w="4606" w:type="dxa"/>
          </w:tcPr>
          <w:p w:rsidR="00F14AD7" w:rsidRPr="007B6C7D" w:rsidP="002C28B6" w14:paraId="2E39E228"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14AD7" w:rsidRPr="001E068F" w:rsidP="00993711" w14:paraId="7DA5E3D5" w14:textId="77777777">
            <w:pPr>
              <w:tabs>
                <w:tab w:val="left" w:pos="4007"/>
              </w:tabs>
              <w:spacing w:after="0" w:line="240" w:lineRule="auto"/>
            </w:pPr>
            <w:r>
              <w:t>GYMZAFIGA</w:t>
            </w:r>
          </w:p>
        </w:tc>
      </w:tr>
      <w:tr w14:paraId="56D031AC" w14:textId="77777777" w:rsidTr="007B6C7D">
        <w:tblPrEx>
          <w:tblW w:w="0" w:type="auto"/>
          <w:tblLook w:val="00A0"/>
        </w:tblPrEx>
        <w:tc>
          <w:tcPr>
            <w:tcW w:w="4606" w:type="dxa"/>
          </w:tcPr>
          <w:p w:rsidR="00F14AD7" w:rsidRPr="007B6C7D" w:rsidP="002C28B6" w14:paraId="1F94BDAD"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14AD7" w:rsidRPr="001E068F" w:rsidP="00993711" w14:paraId="283D681F" w14:textId="16F7B57C">
            <w:pPr>
              <w:tabs>
                <w:tab w:val="left" w:pos="4007"/>
              </w:tabs>
              <w:spacing w:after="0" w:line="240" w:lineRule="auto"/>
            </w:pPr>
            <w:r>
              <w:t>30</w:t>
            </w:r>
            <w:r w:rsidR="00204559">
              <w:t>.</w:t>
            </w:r>
            <w:r w:rsidR="002E5FC9">
              <w:t>3</w:t>
            </w:r>
            <w:r w:rsidR="00204559">
              <w:t>.202</w:t>
            </w:r>
            <w:r w:rsidR="0031337F">
              <w:t>2</w:t>
            </w:r>
          </w:p>
        </w:tc>
      </w:tr>
      <w:tr w14:paraId="62F7551D" w14:textId="77777777" w:rsidTr="007B6C7D">
        <w:tblPrEx>
          <w:tblW w:w="0" w:type="auto"/>
          <w:tblLook w:val="00A0"/>
        </w:tblPrEx>
        <w:tc>
          <w:tcPr>
            <w:tcW w:w="4606" w:type="dxa"/>
          </w:tcPr>
          <w:p w:rsidR="00F14AD7" w:rsidRPr="007B6C7D" w:rsidP="002C28B6" w14:paraId="0C0E671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14AD7" w:rsidRPr="007B6C7D" w:rsidP="007B6C7D" w14:paraId="1F96458F" w14:textId="77777777">
            <w:pPr>
              <w:tabs>
                <w:tab w:val="left" w:pos="4007"/>
              </w:tabs>
              <w:spacing w:after="0" w:line="240" w:lineRule="auto"/>
            </w:pPr>
            <w:r>
              <w:t>H08</w:t>
            </w:r>
          </w:p>
        </w:tc>
      </w:tr>
      <w:tr w14:paraId="07426D9D" w14:textId="77777777" w:rsidTr="007B6C7D">
        <w:tblPrEx>
          <w:tblW w:w="0" w:type="auto"/>
          <w:tblLook w:val="00A0"/>
        </w:tblPrEx>
        <w:tc>
          <w:tcPr>
            <w:tcW w:w="4606" w:type="dxa"/>
          </w:tcPr>
          <w:p w:rsidR="00F14AD7" w:rsidRPr="007B6C7D" w:rsidP="002C28B6" w14:paraId="45893564"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14AD7" w:rsidRPr="007B6C7D" w:rsidP="007B6C7D" w14:paraId="3BD220D5" w14:textId="77777777">
            <w:pPr>
              <w:tabs>
                <w:tab w:val="left" w:pos="4007"/>
              </w:tabs>
              <w:spacing w:after="0" w:line="240" w:lineRule="auto"/>
            </w:pPr>
            <w:r>
              <w:t>S. Ďurek</w:t>
            </w:r>
          </w:p>
        </w:tc>
      </w:tr>
      <w:tr w14:paraId="58180C67" w14:textId="77777777" w:rsidTr="007B6C7D">
        <w:tblPrEx>
          <w:tblW w:w="0" w:type="auto"/>
          <w:tblLook w:val="00A0"/>
        </w:tblPrEx>
        <w:tc>
          <w:tcPr>
            <w:tcW w:w="4606" w:type="dxa"/>
          </w:tcPr>
          <w:p w:rsidR="00F14AD7" w:rsidRPr="007B6C7D" w:rsidP="002C28B6" w14:paraId="1A73D889"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14AD7" w:rsidRPr="007B6C7D" w:rsidP="007B6C7D" w14:paraId="6946B198" w14:textId="77777777">
            <w:pPr>
              <w:tabs>
                <w:tab w:val="left" w:pos="4007"/>
              </w:tabs>
              <w:spacing w:after="0" w:line="240" w:lineRule="auto"/>
            </w:pPr>
            <w:r>
              <w:t>www.gymza.sk</w:t>
            </w:r>
          </w:p>
        </w:tc>
      </w:tr>
    </w:tbl>
    <w:p w:rsidR="00F305BB" w:rsidRPr="00137050" w:rsidP="00137050" w14:paraId="2DA0B2BF" w14:textId="77777777">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14:paraId="5A7A6A63" w14:textId="77777777" w:rsidTr="00A14C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49"/>
        </w:trPr>
        <w:tc>
          <w:tcPr>
            <w:tcW w:w="0" w:type="auto"/>
          </w:tcPr>
          <w:p w:rsidR="0053326D" w:rsidRPr="00BB0677" w:rsidP="002C28B6" w14:paraId="1904BFD6" w14:textId="27FA0989">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rsidR="0053326D" w:rsidRPr="0053326D" w:rsidP="00BD741A" w14:paraId="62B87C03" w14:textId="48DDF2DB">
            <w:pPr>
              <w:pStyle w:val="NoSpacing"/>
              <w:jc w:val="both"/>
              <w:rPr>
                <w:rFonts w:ascii="Times New Roman" w:hAnsi="Times New Roman"/>
              </w:rPr>
            </w:pPr>
            <w:r w:rsidRPr="0053326D">
              <w:rPr>
                <w:rFonts w:ascii="Times New Roman" w:hAnsi="Times New Roman"/>
              </w:rPr>
              <w:t>f</w:t>
            </w:r>
            <w:r w:rsidRPr="0053326D" w:rsidR="00F14AD7">
              <w:rPr>
                <w:rFonts w:ascii="Times New Roman" w:hAnsi="Times New Roman"/>
              </w:rPr>
              <w:t xml:space="preserve">inančná gramotnosť, </w:t>
            </w:r>
            <w:r w:rsidR="00965936">
              <w:rPr>
                <w:rFonts w:ascii="Times New Roman" w:hAnsi="Times New Roman"/>
              </w:rPr>
              <w:t>pedagogický klub,</w:t>
            </w:r>
            <w:r w:rsidR="00C71E7D">
              <w:rPr>
                <w:rFonts w:ascii="Times New Roman" w:hAnsi="Times New Roman"/>
              </w:rPr>
              <w:t xml:space="preserve"> </w:t>
            </w:r>
            <w:r w:rsidR="005538B4">
              <w:rPr>
                <w:rFonts w:ascii="Times New Roman" w:hAnsi="Times New Roman"/>
              </w:rPr>
              <w:t>informácie, vedomosti, aktualizácia, metodika, aktualizovaná metodika</w:t>
            </w:r>
            <w:r w:rsidR="00204902">
              <w:rPr>
                <w:rFonts w:ascii="Times New Roman" w:hAnsi="Times New Roman"/>
              </w:rPr>
              <w:t>.</w:t>
            </w:r>
          </w:p>
        </w:tc>
      </w:tr>
      <w:tr w14:paraId="4B8FFB7A" w14:textId="77777777" w:rsidTr="00A826B0">
        <w:tblPrEx>
          <w:tblW w:w="0" w:type="auto"/>
          <w:tblCellMar>
            <w:left w:w="70" w:type="dxa"/>
            <w:right w:w="70" w:type="dxa"/>
          </w:tblCellMar>
          <w:tblLook w:val="00A0"/>
        </w:tblPrEx>
        <w:trPr>
          <w:trHeight w:val="1409"/>
        </w:trPr>
        <w:tc>
          <w:tcPr>
            <w:tcW w:w="9062" w:type="dxa"/>
          </w:tcPr>
          <w:p w:rsidR="00F305BB" w:rsidRPr="00D40050" w:rsidP="002C28B6" w14:paraId="25503600" w14:textId="05DDE391">
            <w:pPr>
              <w:pStyle w:val="NoSpacing"/>
              <w:numPr>
                <w:ilvl w:val="0"/>
                <w:numId w:val="1"/>
              </w:numPr>
              <w:jc w:val="both"/>
              <w:rPr>
                <w:rFonts w:ascii="Times New Roman" w:hAnsi="Times New Roman"/>
                <w:b/>
                <w:bCs/>
              </w:rPr>
            </w:pPr>
            <w:r w:rsidRPr="00D40050">
              <w:rPr>
                <w:rFonts w:ascii="Times New Roman" w:hAnsi="Times New Roman"/>
                <w:b/>
                <w:bCs/>
              </w:rPr>
              <w:t xml:space="preserve">Hlavné body, témy stretnutia, zhrnutie priebehu stretnutia: </w:t>
            </w:r>
          </w:p>
          <w:p w:rsidR="00F305BB" w:rsidRPr="00D40050" w:rsidP="0053326D" w14:paraId="11347645" w14:textId="77777777">
            <w:pPr>
              <w:pStyle w:val="NoSpacing"/>
              <w:jc w:val="both"/>
              <w:rPr>
                <w:rFonts w:ascii="Times New Roman" w:hAnsi="Times New Roman"/>
              </w:rPr>
            </w:pPr>
          </w:p>
          <w:p w:rsidR="00A54F5C" w:rsidRPr="00D40050" w:rsidP="00D40050" w14:paraId="7A1FBCF2" w14:textId="08D0F309">
            <w:pPr>
              <w:pStyle w:val="NoSpacing"/>
              <w:jc w:val="both"/>
              <w:rPr>
                <w:rFonts w:ascii="Times New Roman" w:hAnsi="Times New Roman"/>
                <w:color w:val="000000"/>
              </w:rPr>
            </w:pPr>
            <w:r w:rsidRPr="00D40050">
              <w:rPr>
                <w:rFonts w:ascii="Times New Roman" w:hAnsi="Times New Roman"/>
              </w:rPr>
              <w:t>A)</w:t>
            </w:r>
            <w:r w:rsidRPr="00D40050" w:rsidR="009C47DD">
              <w:rPr>
                <w:rFonts w:ascii="Times New Roman" w:hAnsi="Times New Roman"/>
              </w:rPr>
              <w:t xml:space="preserve"> </w:t>
            </w:r>
            <w:r w:rsidR="00D40050">
              <w:rPr>
                <w:rFonts w:ascii="Times New Roman" w:hAnsi="Times New Roman"/>
              </w:rPr>
              <w:t xml:space="preserve">Členovia klubu finančnej gramotnosti </w:t>
            </w:r>
            <w:r w:rsidR="00AF55EF">
              <w:rPr>
                <w:rFonts w:ascii="Times New Roman" w:hAnsi="Times New Roman"/>
              </w:rPr>
              <w:t>aktualizovali svojej poznatky z oblasti finančnej gramotnosti. Zaoberali sa Národným štandardom finančnej gramotnosti, pri ktorom si zopakovali základné ciele a smerovania samotnej výuky finančnej gramotnosti.</w:t>
            </w:r>
          </w:p>
          <w:p w:rsidR="00AF55EF" w:rsidP="005538B4" w14:paraId="56F9CD72" w14:textId="484B75F7">
            <w:pPr>
              <w:pStyle w:val="NoSpacing"/>
              <w:jc w:val="both"/>
              <w:rPr>
                <w:rFonts w:ascii="Times New Roman" w:hAnsi="Times New Roman"/>
              </w:rPr>
            </w:pPr>
          </w:p>
          <w:p w:rsidR="00AF55EF" w:rsidP="005538B4" w14:paraId="11F95F9F" w14:textId="08A7F823">
            <w:pPr>
              <w:pStyle w:val="NoSpacing"/>
              <w:jc w:val="both"/>
              <w:rPr>
                <w:rFonts w:ascii="Times New Roman" w:hAnsi="Times New Roman"/>
              </w:rPr>
            </w:pPr>
            <w:r>
              <w:rPr>
                <w:rFonts w:ascii="Times New Roman" w:hAnsi="Times New Roman"/>
              </w:rPr>
              <w:t>Národný štandard finančnej gramotnosti, verzia 1.2</w:t>
            </w:r>
          </w:p>
          <w:p w:rsidR="00AF55EF" w:rsidP="005538B4" w14:paraId="2EE6FBF5" w14:textId="77777777">
            <w:pPr>
              <w:pStyle w:val="NoSpacing"/>
              <w:jc w:val="both"/>
              <w:rPr>
                <w:rFonts w:ascii="Times New Roman" w:hAnsi="Times New Roman"/>
              </w:rPr>
            </w:pPr>
          </w:p>
          <w:p w:rsidR="00D40050" w:rsidP="005538B4" w14:paraId="0A6D1CB4" w14:textId="77777777">
            <w:pPr>
              <w:pStyle w:val="NoSpacing"/>
              <w:jc w:val="both"/>
              <w:rPr>
                <w:rFonts w:ascii="Times New Roman" w:hAnsi="Times New Roman"/>
              </w:rPr>
            </w:pPr>
            <w:r w:rsidRPr="00D40050">
              <w:rPr>
                <w:rFonts w:ascii="Times New Roman" w:hAnsi="Times New Roman"/>
              </w:rPr>
              <w:t xml:space="preserve">Vláda Slovenskej republiky uznesením č. 447 z 2. júla 2008 schválila materiál Návrh stratégie vzdelávania vo finančnej oblasti a manažmentu osobných financií, ktorý predložil podpredseda vlády Slovenskej republiky a minister školstva. Následne bol v roku 2008 vypracovaný Národný štandard finančnej gramotnosti, ktorý okrem finančných tém integruje aj spotrebiteľskú výchovu, protikorupčnú výchovu, výchovu k podnikaniu, ako aj výchovu proti podvodom pri využívaní verejných zdrojov. </w:t>
            </w:r>
          </w:p>
          <w:p w:rsidR="00D40050" w:rsidP="005538B4" w14:paraId="63B08DDE" w14:textId="55F09ABD">
            <w:pPr>
              <w:pStyle w:val="NoSpacing"/>
              <w:jc w:val="both"/>
              <w:rPr>
                <w:rFonts w:ascii="Times New Roman" w:hAnsi="Times New Roman"/>
              </w:rPr>
            </w:pPr>
            <w:r w:rsidRPr="00D40050">
              <w:rPr>
                <w:rFonts w:ascii="Times New Roman" w:hAnsi="Times New Roman"/>
              </w:rPr>
              <w:t xml:space="preserve">Verzie Národného štandardu finančnej gramotnosti: </w:t>
            </w:r>
          </w:p>
          <w:p w:rsidR="00D40050" w:rsidP="005538B4" w14:paraId="2784601F" w14:textId="77777777">
            <w:pPr>
              <w:pStyle w:val="NoSpacing"/>
              <w:jc w:val="both"/>
              <w:rPr>
                <w:rFonts w:ascii="Times New Roman" w:hAnsi="Times New Roman"/>
              </w:rPr>
            </w:pPr>
            <w:r w:rsidRPr="00D40050">
              <w:rPr>
                <w:rFonts w:ascii="Times New Roman" w:hAnsi="Times New Roman"/>
              </w:rPr>
              <w:t>- Národný štandard finančnej gramotnosti verzia 1.0, platný od 1.9.2009,</w:t>
            </w:r>
          </w:p>
          <w:p w:rsidR="00D40050" w:rsidP="005538B4" w14:paraId="6D81FBC4" w14:textId="77777777">
            <w:pPr>
              <w:pStyle w:val="NoSpacing"/>
              <w:jc w:val="both"/>
              <w:rPr>
                <w:rFonts w:ascii="Times New Roman" w:hAnsi="Times New Roman"/>
              </w:rPr>
            </w:pPr>
            <w:r w:rsidRPr="00D40050">
              <w:rPr>
                <w:rFonts w:ascii="Times New Roman" w:hAnsi="Times New Roman"/>
              </w:rPr>
              <w:t xml:space="preserve">- Národný štandard finančnej gramotnosti verzia 1.1, platný od 1.9.2014, </w:t>
            </w:r>
          </w:p>
          <w:p w:rsidR="00D40050" w:rsidP="005538B4" w14:paraId="78151340" w14:textId="77777777">
            <w:pPr>
              <w:pStyle w:val="NoSpacing"/>
              <w:jc w:val="both"/>
              <w:rPr>
                <w:rFonts w:ascii="Times New Roman" w:hAnsi="Times New Roman"/>
              </w:rPr>
            </w:pPr>
            <w:r w:rsidRPr="00D40050">
              <w:rPr>
                <w:rFonts w:ascii="Times New Roman" w:hAnsi="Times New Roman"/>
              </w:rPr>
              <w:t xml:space="preserve">- Národný štandard finančnej gramotnosti verzia 1.2, platný od 1.9.2017 (ďalej len „NŠFG“). </w:t>
            </w:r>
          </w:p>
          <w:p w:rsidR="00D40050" w:rsidP="005538B4" w14:paraId="528F0B9B" w14:textId="77777777">
            <w:pPr>
              <w:pStyle w:val="NoSpacing"/>
              <w:jc w:val="both"/>
              <w:rPr>
                <w:rFonts w:ascii="Times New Roman" w:hAnsi="Times New Roman"/>
              </w:rPr>
            </w:pPr>
          </w:p>
          <w:p w:rsidR="00D40050" w:rsidP="005538B4" w14:paraId="176EE7C0" w14:textId="77777777">
            <w:pPr>
              <w:pStyle w:val="NoSpacing"/>
              <w:jc w:val="both"/>
              <w:rPr>
                <w:rFonts w:ascii="Times New Roman" w:hAnsi="Times New Roman"/>
              </w:rPr>
            </w:pPr>
            <w:r w:rsidRPr="00D40050">
              <w:rPr>
                <w:rFonts w:ascii="Times New Roman" w:hAnsi="Times New Roman"/>
              </w:rPr>
              <w:t xml:space="preserve">NŠFG vymedzuje šírku poznatkov, zručností a skúseností v oblasti finančného vzdelávania a manažmentu osobných financií, z ktorého vyplýva, že absolvent strednej školy (vyššieho sekundárneho vzdelávania) by mal byť schopný: </w:t>
            </w:r>
          </w:p>
          <w:p w:rsidR="00D40050" w:rsidP="00D40050" w14:paraId="5ACA750C" w14:textId="77777777">
            <w:pPr>
              <w:pStyle w:val="NoSpacing"/>
              <w:numPr>
                <w:ilvl w:val="0"/>
                <w:numId w:val="3"/>
              </w:numPr>
              <w:jc w:val="both"/>
              <w:rPr>
                <w:rFonts w:ascii="Times New Roman" w:hAnsi="Times New Roman"/>
              </w:rPr>
            </w:pPr>
            <w:r w:rsidRPr="00D40050">
              <w:rPr>
                <w:rFonts w:ascii="Times New Roman" w:hAnsi="Times New Roman"/>
              </w:rPr>
              <w:t>nájsť, vyhodnotiť a použiť finančné informácie,</w:t>
            </w:r>
          </w:p>
          <w:p w:rsidR="00D40050" w:rsidP="00D40050" w14:paraId="51EAB295" w14:textId="77777777">
            <w:pPr>
              <w:pStyle w:val="NoSpacing"/>
              <w:numPr>
                <w:ilvl w:val="0"/>
                <w:numId w:val="3"/>
              </w:numPr>
              <w:jc w:val="both"/>
              <w:rPr>
                <w:rFonts w:ascii="Times New Roman" w:hAnsi="Times New Roman"/>
              </w:rPr>
            </w:pPr>
            <w:r w:rsidRPr="00D40050">
              <w:rPr>
                <w:rFonts w:ascii="Times New Roman" w:hAnsi="Times New Roman"/>
              </w:rPr>
              <w:t xml:space="preserve">poznať základné pravidlá riadenia financií, </w:t>
            </w:r>
          </w:p>
          <w:p w:rsidR="00D40050" w:rsidP="00D40050" w14:paraId="1024A4EC" w14:textId="77777777">
            <w:pPr>
              <w:pStyle w:val="NoSpacing"/>
              <w:numPr>
                <w:ilvl w:val="0"/>
                <w:numId w:val="3"/>
              </w:numPr>
              <w:jc w:val="both"/>
              <w:rPr>
                <w:rFonts w:ascii="Times New Roman" w:hAnsi="Times New Roman"/>
              </w:rPr>
            </w:pPr>
            <w:r w:rsidRPr="00D40050">
              <w:rPr>
                <w:rFonts w:ascii="Times New Roman" w:hAnsi="Times New Roman"/>
              </w:rPr>
              <w:t xml:space="preserve">rozoznávať riziká v riadení financií, </w:t>
            </w:r>
          </w:p>
          <w:p w:rsidR="00D40050" w:rsidP="00D40050" w14:paraId="1ABD3DFD" w14:textId="77777777">
            <w:pPr>
              <w:pStyle w:val="NoSpacing"/>
              <w:numPr>
                <w:ilvl w:val="0"/>
                <w:numId w:val="3"/>
              </w:numPr>
              <w:jc w:val="both"/>
              <w:rPr>
                <w:rFonts w:ascii="Times New Roman" w:hAnsi="Times New Roman"/>
              </w:rPr>
            </w:pPr>
            <w:r w:rsidRPr="00D40050">
              <w:rPr>
                <w:rFonts w:ascii="Times New Roman" w:hAnsi="Times New Roman"/>
              </w:rPr>
              <w:t xml:space="preserve">stanoviť si finančné ciele a naplánovať si ich dosiahnutie, </w:t>
            </w:r>
          </w:p>
          <w:p w:rsidR="00D40050" w:rsidP="00D40050" w14:paraId="6FF5739B" w14:textId="77777777">
            <w:pPr>
              <w:pStyle w:val="NoSpacing"/>
              <w:numPr>
                <w:ilvl w:val="0"/>
                <w:numId w:val="3"/>
              </w:numPr>
              <w:jc w:val="both"/>
              <w:rPr>
                <w:rFonts w:ascii="Times New Roman" w:hAnsi="Times New Roman"/>
              </w:rPr>
            </w:pPr>
            <w:r w:rsidRPr="00D40050">
              <w:rPr>
                <w:rFonts w:ascii="Times New Roman" w:hAnsi="Times New Roman"/>
              </w:rPr>
              <w:t xml:space="preserve">rozvinúť potenciál získania vlastného príjmu a schopnosť sporiť, </w:t>
            </w:r>
          </w:p>
          <w:p w:rsidR="00D40050" w:rsidP="00D40050" w14:paraId="0743DE1F" w14:textId="77777777">
            <w:pPr>
              <w:pStyle w:val="NoSpacing"/>
              <w:numPr>
                <w:ilvl w:val="0"/>
                <w:numId w:val="3"/>
              </w:numPr>
              <w:jc w:val="both"/>
              <w:rPr>
                <w:rFonts w:ascii="Times New Roman" w:hAnsi="Times New Roman"/>
              </w:rPr>
            </w:pPr>
            <w:r w:rsidRPr="00D40050">
              <w:rPr>
                <w:rFonts w:ascii="Times New Roman" w:hAnsi="Times New Roman"/>
              </w:rPr>
              <w:t xml:space="preserve">efektívne používať finančné služby, </w:t>
            </w:r>
          </w:p>
          <w:p w:rsidR="00D40050" w:rsidP="00D40050" w14:paraId="2B2FC939" w14:textId="77777777">
            <w:pPr>
              <w:pStyle w:val="NoSpacing"/>
              <w:numPr>
                <w:ilvl w:val="0"/>
                <w:numId w:val="3"/>
              </w:numPr>
              <w:jc w:val="both"/>
              <w:rPr>
                <w:rFonts w:ascii="Times New Roman" w:hAnsi="Times New Roman"/>
              </w:rPr>
            </w:pPr>
            <w:r w:rsidRPr="00D40050">
              <w:rPr>
                <w:rFonts w:ascii="Times New Roman" w:hAnsi="Times New Roman"/>
              </w:rPr>
              <w:t xml:space="preserve">plniť svoje finančné záväzky, </w:t>
            </w:r>
          </w:p>
          <w:p w:rsidR="00D40050" w:rsidP="00D40050" w14:paraId="4F2EEF51" w14:textId="77777777">
            <w:pPr>
              <w:pStyle w:val="NoSpacing"/>
              <w:numPr>
                <w:ilvl w:val="0"/>
                <w:numId w:val="3"/>
              </w:numPr>
              <w:jc w:val="both"/>
              <w:rPr>
                <w:rFonts w:ascii="Times New Roman" w:hAnsi="Times New Roman"/>
              </w:rPr>
            </w:pPr>
            <w:r w:rsidRPr="00D40050">
              <w:rPr>
                <w:rFonts w:ascii="Times New Roman" w:hAnsi="Times New Roman"/>
              </w:rPr>
              <w:t xml:space="preserve">zveľaďovať a chrániť svoj aj zverený majetok, </w:t>
            </w:r>
          </w:p>
          <w:p w:rsidR="00D40050" w:rsidP="00D40050" w14:paraId="703E18A6" w14:textId="77777777">
            <w:pPr>
              <w:pStyle w:val="NoSpacing"/>
              <w:numPr>
                <w:ilvl w:val="0"/>
                <w:numId w:val="3"/>
              </w:numPr>
              <w:jc w:val="both"/>
              <w:rPr>
                <w:rFonts w:ascii="Times New Roman" w:hAnsi="Times New Roman"/>
              </w:rPr>
            </w:pPr>
            <w:r w:rsidRPr="00D40050">
              <w:rPr>
                <w:rFonts w:ascii="Times New Roman" w:hAnsi="Times New Roman"/>
              </w:rPr>
              <w:t xml:space="preserve">porozumieť a orientovať sa v zabezpečovaní základných ľudských a ekonomických potrieb jednotlivca a rodiny, podniku, </w:t>
            </w:r>
          </w:p>
          <w:p w:rsidR="00D40050" w:rsidP="00D40050" w14:paraId="68781CB6" w14:textId="77777777">
            <w:pPr>
              <w:pStyle w:val="NoSpacing"/>
              <w:numPr>
                <w:ilvl w:val="0"/>
                <w:numId w:val="3"/>
              </w:numPr>
              <w:jc w:val="both"/>
              <w:rPr>
                <w:rFonts w:ascii="Times New Roman" w:hAnsi="Times New Roman"/>
              </w:rPr>
            </w:pPr>
            <w:r w:rsidRPr="00D40050">
              <w:rPr>
                <w:rFonts w:ascii="Times New Roman" w:hAnsi="Times New Roman"/>
              </w:rPr>
              <w:t xml:space="preserve">hodnotiť úspešnosť vlastnej sebarealizácie, inšpirovať sa príkladmi úspešných osobností, </w:t>
            </w:r>
          </w:p>
          <w:p w:rsidR="00D40050" w:rsidP="00D40050" w14:paraId="0D166459" w14:textId="77777777">
            <w:pPr>
              <w:pStyle w:val="NoSpacing"/>
              <w:numPr>
                <w:ilvl w:val="0"/>
                <w:numId w:val="3"/>
              </w:numPr>
              <w:jc w:val="both"/>
              <w:rPr>
                <w:rFonts w:ascii="Times New Roman" w:hAnsi="Times New Roman"/>
              </w:rPr>
            </w:pPr>
            <w:r w:rsidRPr="00D40050">
              <w:rPr>
                <w:rFonts w:ascii="Times New Roman" w:hAnsi="Times New Roman"/>
              </w:rPr>
              <w:t xml:space="preserve">porozumieť základným pojmom v jednotlivých témach, </w:t>
            </w:r>
          </w:p>
          <w:p w:rsidR="00D40050" w:rsidP="00D40050" w14:paraId="4F690A48" w14:textId="77777777">
            <w:pPr>
              <w:pStyle w:val="NoSpacing"/>
              <w:numPr>
                <w:ilvl w:val="0"/>
                <w:numId w:val="3"/>
              </w:numPr>
              <w:jc w:val="both"/>
              <w:rPr>
                <w:rFonts w:ascii="Times New Roman" w:hAnsi="Times New Roman"/>
              </w:rPr>
            </w:pPr>
            <w:r w:rsidRPr="00D40050">
              <w:rPr>
                <w:rFonts w:ascii="Times New Roman" w:hAnsi="Times New Roman"/>
              </w:rPr>
              <w:t xml:space="preserve">orientovať sa v oblasti finančného trhu (Národná banka Slovenska, komerčné banky, poisťovne, finanční sprostredkovatelia a ostatné finančné inštitúcie), </w:t>
            </w:r>
          </w:p>
          <w:p w:rsidR="00D40050" w:rsidP="00D40050" w14:paraId="106284B3" w14:textId="77777777">
            <w:pPr>
              <w:pStyle w:val="NoSpacing"/>
              <w:numPr>
                <w:ilvl w:val="0"/>
                <w:numId w:val="3"/>
              </w:numPr>
              <w:jc w:val="both"/>
              <w:rPr>
                <w:rFonts w:ascii="Times New Roman" w:hAnsi="Times New Roman"/>
              </w:rPr>
            </w:pPr>
            <w:r w:rsidRPr="00D40050">
              <w:rPr>
                <w:rFonts w:ascii="Times New Roman" w:hAnsi="Times New Roman"/>
              </w:rPr>
              <w:t xml:space="preserve">orientovať sa v problematike ochrany práv spotrebiteľa a byť schopný tieto práva uplatňovať, </w:t>
            </w:r>
          </w:p>
          <w:p w:rsidR="00D40050" w:rsidP="00D40050" w14:paraId="4DC031DF" w14:textId="77777777">
            <w:pPr>
              <w:pStyle w:val="NoSpacing"/>
              <w:numPr>
                <w:ilvl w:val="0"/>
                <w:numId w:val="3"/>
              </w:numPr>
              <w:jc w:val="both"/>
              <w:rPr>
                <w:rFonts w:ascii="Times New Roman" w:hAnsi="Times New Roman"/>
              </w:rPr>
            </w:pPr>
            <w:r w:rsidRPr="00D40050">
              <w:rPr>
                <w:rFonts w:ascii="Times New Roman" w:hAnsi="Times New Roman"/>
              </w:rPr>
              <w:t xml:space="preserve">ovládať práva, povinnosti, klady a riziká osoby fungujúcej ako podnikateľ, </w:t>
            </w:r>
          </w:p>
          <w:p w:rsidR="00D40050" w:rsidP="00D40050" w14:paraId="58052B6B" w14:textId="77777777">
            <w:pPr>
              <w:pStyle w:val="NoSpacing"/>
              <w:numPr>
                <w:ilvl w:val="0"/>
                <w:numId w:val="3"/>
              </w:numPr>
              <w:jc w:val="both"/>
              <w:rPr>
                <w:rFonts w:ascii="Times New Roman" w:hAnsi="Times New Roman"/>
              </w:rPr>
            </w:pPr>
            <w:r w:rsidRPr="00D40050">
              <w:rPr>
                <w:rFonts w:ascii="Times New Roman" w:hAnsi="Times New Roman"/>
              </w:rPr>
              <w:t xml:space="preserve">zostaviť a prezentovať vlastný podnikateľský zámer, myslieť strategicky, analyzovať a riešiť problémy. </w:t>
            </w:r>
          </w:p>
          <w:p w:rsidR="00D40050" w:rsidP="005538B4" w14:paraId="4198226D" w14:textId="77777777">
            <w:pPr>
              <w:pStyle w:val="NoSpacing"/>
              <w:jc w:val="both"/>
              <w:rPr>
                <w:rFonts w:ascii="Times New Roman" w:hAnsi="Times New Roman"/>
              </w:rPr>
            </w:pPr>
          </w:p>
          <w:p w:rsidR="00D40050" w:rsidP="005538B4" w14:paraId="506B4327" w14:textId="46F47B53">
            <w:pPr>
              <w:pStyle w:val="NoSpacing"/>
              <w:jc w:val="both"/>
              <w:rPr>
                <w:rFonts w:ascii="Times New Roman" w:hAnsi="Times New Roman"/>
              </w:rPr>
            </w:pPr>
            <w:r w:rsidRPr="00D40050">
              <w:rPr>
                <w:rFonts w:ascii="Times New Roman" w:hAnsi="Times New Roman"/>
              </w:rPr>
              <w:t xml:space="preserve">Finančná gramotnosť je schopnosť využívať poznatky, zručnosti a skúsenosti na efektívne riadenie vlastných finančných zdrojov s cieľom zaistiť celoživotné finančné zabezpečenie seba a svojej domácnosti. </w:t>
            </w:r>
          </w:p>
          <w:p w:rsidR="00D40050" w:rsidP="005538B4" w14:paraId="0A2315B2" w14:textId="2E106B63">
            <w:pPr>
              <w:pStyle w:val="NoSpacing"/>
              <w:jc w:val="both"/>
              <w:rPr>
                <w:rFonts w:ascii="Times New Roman" w:hAnsi="Times New Roman"/>
              </w:rPr>
            </w:pPr>
            <w:r w:rsidRPr="00D40050">
              <w:rPr>
                <w:rFonts w:ascii="Times New Roman" w:hAnsi="Times New Roman"/>
              </w:rPr>
              <w:t xml:space="preserve">Finančná gramotnosť nie je absolútnym stavom, je to kontinuum schopností, ktoré sú podmienené premennými ako vek, rodina, zamestnanie, kultúra či miesto bydliska. Je to označenie pre stav neustáleho vývoja, ktorý umožňuje každému jednotlivcovi efektívne 4 reagovať na nové osobné udalosti a neustále meniace sa ekonomické prostredie. </w:t>
            </w:r>
          </w:p>
          <w:p w:rsidR="00D40050" w:rsidP="005538B4" w14:paraId="55622E22" w14:textId="77777777">
            <w:pPr>
              <w:pStyle w:val="NoSpacing"/>
              <w:jc w:val="both"/>
              <w:rPr>
                <w:rFonts w:ascii="Times New Roman" w:hAnsi="Times New Roman"/>
              </w:rPr>
            </w:pPr>
          </w:p>
          <w:p w:rsidR="00D40050" w:rsidP="005538B4" w14:paraId="6B505F89" w14:textId="77777777">
            <w:pPr>
              <w:pStyle w:val="NoSpacing"/>
              <w:jc w:val="both"/>
              <w:rPr>
                <w:rFonts w:ascii="Times New Roman" w:hAnsi="Times New Roman"/>
              </w:rPr>
            </w:pPr>
            <w:r w:rsidRPr="00D40050">
              <w:rPr>
                <w:rFonts w:ascii="Times New Roman" w:hAnsi="Times New Roman"/>
              </w:rPr>
              <w:t>Vzhľadom na nedostatočné skúsenosti a ešte neosvojený požadovaný stupeň zodpovednosti, súčasný absolvent strednej školy nebude vykazovať rovnaký stupeň znalostí v oblasti osobných financií ako starší, finančne gramotný dospelý. Finančne gramotní absolventi stredných škôl by však mali aspoň vo všeobecnosti chápať všetky kľúčové aspekty osobných financií. Títo absolventi budú mať istotu, že budú samostatne schopní nájsť si a použiť informácie potrebné pri špecifických finančných výzvach, zoči-voči ktorým sa môžu čas od času ocitnúť. Práve v súvislosti s týmto NŠFG naznačuje, akými poznatkami, zručnosťami a skúsenosťami musia pedagogickí zamestnanci a žiaci disponovať, aby mohli nepretržite rozširovať svoje vedomosti o osobných financiách podľa toho, ako sa budú meniť ich zodpovednosti a príležitosti. Mladí ľudia by mali mať vyvinuté podnikateľské zručnosti natoľko, aby si vedeli založiť vlastný podnik a priebežne sa prispôsobovať meniacim sa požiadavkám trhu práce.</w:t>
            </w:r>
          </w:p>
          <w:p w:rsidR="00AF55EF" w:rsidP="005538B4" w14:paraId="684C0229" w14:textId="4ED57789">
            <w:pPr>
              <w:pStyle w:val="NoSpacing"/>
              <w:jc w:val="both"/>
              <w:rPr>
                <w:rFonts w:ascii="Times New Roman" w:hAnsi="Times New Roman"/>
              </w:rPr>
            </w:pPr>
            <w:r>
              <w:rPr>
                <w:rFonts w:ascii="Times New Roman" w:hAnsi="Times New Roman"/>
              </w:rPr>
              <w:t>Zdroj:</w:t>
            </w:r>
          </w:p>
          <w:p w:rsidR="004672B8" w:rsidRPr="004672B8" w:rsidP="005538B4" w14:paraId="6E57A958" w14:textId="76112BC4">
            <w:pPr>
              <w:pStyle w:val="NoSpacing"/>
              <w:jc w:val="both"/>
              <w:rPr>
                <w:rFonts w:ascii="Times New Roman" w:hAnsi="Times New Roman"/>
              </w:rPr>
            </w:pPr>
            <w:hyperlink r:id="rId6" w:history="1">
              <w:r w:rsidRPr="004672B8">
                <w:rPr>
                  <w:rStyle w:val="Hyperlink"/>
                  <w:rFonts w:ascii="Times New Roman" w:hAnsi="Times New Roman"/>
                  <w:color w:val="auto"/>
                  <w:u w:val="none"/>
                </w:rPr>
                <w:t>https://www.statpedu.sk/files/sk/metodicky-portal/metodicke-podnety/nsfg_1_2.pdf</w:t>
              </w:r>
            </w:hyperlink>
          </w:p>
          <w:p w:rsidR="004672B8" w:rsidP="005538B4" w14:paraId="54400611" w14:textId="77777777">
            <w:pPr>
              <w:pStyle w:val="NoSpacing"/>
              <w:jc w:val="both"/>
              <w:rPr>
                <w:rFonts w:ascii="Times New Roman" w:hAnsi="Times New Roman"/>
              </w:rPr>
            </w:pPr>
          </w:p>
          <w:p w:rsidR="00AF55EF" w:rsidP="005538B4" w14:paraId="3C410BA3" w14:textId="4336025C">
            <w:pPr>
              <w:pStyle w:val="NoSpacing"/>
              <w:jc w:val="both"/>
              <w:rPr>
                <w:rFonts w:ascii="Times New Roman" w:hAnsi="Times New Roman"/>
              </w:rPr>
            </w:pPr>
            <w:r>
              <w:rPr>
                <w:rFonts w:ascii="Times New Roman" w:hAnsi="Times New Roman"/>
              </w:rPr>
              <w:t xml:space="preserve">B) Členovia klubu finančnej gramotnosti aktualizovali svojej poznatky z oblasti finančnej gramotnosti. Zaoberali sa metodikov </w:t>
            </w:r>
            <w:r w:rsidR="009417E6">
              <w:rPr>
                <w:rFonts w:ascii="Times New Roman" w:hAnsi="Times New Roman"/>
              </w:rPr>
              <w:t>výučby finančnej gramotnosti a jej aktualizáciou.</w:t>
            </w:r>
          </w:p>
          <w:p w:rsidR="009417E6" w:rsidP="005538B4" w14:paraId="0A055BD7" w14:textId="0AA10779">
            <w:pPr>
              <w:pStyle w:val="NoSpacing"/>
              <w:jc w:val="both"/>
              <w:rPr>
                <w:rFonts w:ascii="Times New Roman" w:hAnsi="Times New Roman"/>
              </w:rPr>
            </w:pPr>
          </w:p>
          <w:p w:rsidR="009417E6" w:rsidP="005538B4" w14:paraId="5EA8618E" w14:textId="3325E984">
            <w:pPr>
              <w:pStyle w:val="NoSpacing"/>
              <w:jc w:val="both"/>
              <w:rPr>
                <w:rFonts w:ascii="Times New Roman" w:hAnsi="Times New Roman"/>
              </w:rPr>
            </w:pPr>
            <w:r>
              <w:rPr>
                <w:rFonts w:ascii="Times New Roman" w:hAnsi="Times New Roman"/>
              </w:rPr>
              <w:t>Metódy a formy práce vo výučbe finančnej gramotnosti</w:t>
            </w:r>
          </w:p>
          <w:p w:rsidR="009417E6" w:rsidP="005538B4" w14:paraId="507C33C2" w14:textId="1785E6B5">
            <w:pPr>
              <w:pStyle w:val="NoSpacing"/>
              <w:jc w:val="both"/>
              <w:rPr>
                <w:rFonts w:ascii="Times New Roman" w:hAnsi="Times New Roman"/>
              </w:rPr>
            </w:pPr>
          </w:p>
          <w:p w:rsidR="009417E6" w:rsidP="005538B4" w14:paraId="7A9162BA" w14:textId="77777777">
            <w:pPr>
              <w:pStyle w:val="NoSpacing"/>
              <w:jc w:val="both"/>
              <w:rPr>
                <w:rFonts w:ascii="Times New Roman" w:hAnsi="Times New Roman"/>
              </w:rPr>
            </w:pPr>
            <w:r w:rsidRPr="009417E6">
              <w:rPr>
                <w:rFonts w:ascii="Times New Roman" w:hAnsi="Times New Roman"/>
              </w:rPr>
              <w:t xml:space="preserve">Vyučovanie finančnej gramotnosti má svoje špecifiká a odlišnosti. Práve preto tu môžeme uplatňovať najrôznejšie inovatívne metódy vyučovania, ktoré ocenia nielen žiaci, ale i učitelia. </w:t>
            </w:r>
          </w:p>
          <w:p w:rsidR="009417E6" w:rsidP="005538B4" w14:paraId="23A8B6CD" w14:textId="77777777">
            <w:pPr>
              <w:pStyle w:val="NoSpacing"/>
              <w:jc w:val="both"/>
              <w:rPr>
                <w:rFonts w:ascii="Times New Roman" w:hAnsi="Times New Roman"/>
              </w:rPr>
            </w:pPr>
            <w:r w:rsidRPr="009417E6">
              <w:rPr>
                <w:rFonts w:ascii="Times New Roman" w:hAnsi="Times New Roman"/>
              </w:rPr>
              <w:t xml:space="preserve">Pre metódy vyučovania by malo vo všeobecnosti platiť: </w:t>
            </w:r>
          </w:p>
          <w:p w:rsidR="009417E6" w:rsidP="009417E6" w14:paraId="262660ED" w14:textId="77777777">
            <w:pPr>
              <w:pStyle w:val="NoSpacing"/>
              <w:numPr>
                <w:ilvl w:val="0"/>
                <w:numId w:val="4"/>
              </w:numPr>
              <w:jc w:val="both"/>
              <w:rPr>
                <w:rFonts w:ascii="Times New Roman" w:hAnsi="Times New Roman"/>
              </w:rPr>
            </w:pPr>
            <w:r w:rsidRPr="009417E6">
              <w:rPr>
                <w:rFonts w:ascii="Times New Roman" w:hAnsi="Times New Roman"/>
              </w:rPr>
              <w:t xml:space="preserve">Zážitkovosť. Žiaci by si mali osvojovať také vedomosti, zručnosti a postoje, ktoré stavajú na ich osobnom prežívaní a zážitku v aktívnom učení. </w:t>
            </w:r>
          </w:p>
          <w:p w:rsidR="009417E6" w:rsidP="009417E6" w14:paraId="4C4E58E2" w14:textId="77777777">
            <w:pPr>
              <w:pStyle w:val="NoSpacing"/>
              <w:numPr>
                <w:ilvl w:val="0"/>
                <w:numId w:val="4"/>
              </w:numPr>
              <w:jc w:val="both"/>
              <w:rPr>
                <w:rFonts w:ascii="Times New Roman" w:hAnsi="Times New Roman"/>
              </w:rPr>
            </w:pPr>
            <w:r w:rsidRPr="009417E6">
              <w:rPr>
                <w:rFonts w:ascii="Times New Roman" w:hAnsi="Times New Roman"/>
              </w:rPr>
              <w:t xml:space="preserve">Participácia žiaka. Žiak je v centre pozornosti a tvorcom učiacej sa situácie, učiteľ situáciu skôr facilituje ako vedie. </w:t>
            </w:r>
          </w:p>
          <w:p w:rsidR="009417E6" w:rsidP="009417E6" w14:paraId="525A8F5C" w14:textId="77777777">
            <w:pPr>
              <w:pStyle w:val="NoSpacing"/>
              <w:numPr>
                <w:ilvl w:val="0"/>
                <w:numId w:val="4"/>
              </w:numPr>
              <w:jc w:val="both"/>
              <w:rPr>
                <w:rFonts w:ascii="Times New Roman" w:hAnsi="Times New Roman"/>
              </w:rPr>
            </w:pPr>
            <w:r w:rsidRPr="009417E6">
              <w:rPr>
                <w:rFonts w:ascii="Times New Roman" w:hAnsi="Times New Roman"/>
              </w:rPr>
              <w:t xml:space="preserve">Názornosť. Poskytované informácie by mali byť názorné, dobre viditeľné a mali by sa opierať o vedomosti žiakov. To platí pre písanie na tabuľu, pre vytváranie prezentácií, výučbových schém a podobne. </w:t>
            </w:r>
          </w:p>
          <w:p w:rsidR="009417E6" w:rsidP="009417E6" w14:paraId="36939E86" w14:textId="77777777">
            <w:pPr>
              <w:pStyle w:val="NoSpacing"/>
              <w:numPr>
                <w:ilvl w:val="0"/>
                <w:numId w:val="4"/>
              </w:numPr>
              <w:jc w:val="both"/>
              <w:rPr>
                <w:rFonts w:ascii="Times New Roman" w:hAnsi="Times New Roman"/>
              </w:rPr>
            </w:pPr>
            <w:r w:rsidRPr="009417E6">
              <w:rPr>
                <w:rFonts w:ascii="Times New Roman" w:hAnsi="Times New Roman"/>
              </w:rPr>
              <w:t xml:space="preserve">Jednoduchosť. Jednotlivé témy by mali nadväzovať na znalosti, resp. skúsenosti žiakov. Pojmy používané vo vyučovaní by mali žiaci poznať a mali by rozumieť ich významu. </w:t>
            </w:r>
          </w:p>
          <w:p w:rsidR="009417E6" w:rsidP="009417E6" w14:paraId="469DC54B" w14:textId="77777777">
            <w:pPr>
              <w:pStyle w:val="NoSpacing"/>
              <w:numPr>
                <w:ilvl w:val="0"/>
                <w:numId w:val="4"/>
              </w:numPr>
              <w:jc w:val="both"/>
              <w:rPr>
                <w:rFonts w:ascii="Times New Roman" w:hAnsi="Times New Roman"/>
              </w:rPr>
            </w:pPr>
            <w:r w:rsidRPr="009417E6">
              <w:rPr>
                <w:rFonts w:ascii="Times New Roman" w:hAnsi="Times New Roman"/>
              </w:rPr>
              <w:t xml:space="preserve">Aktivita žiakov. Žiaci by mali na hodinách sami aktívne vystupovať, skúšať si uvádzané situácie, diskutovať a podobne. </w:t>
            </w:r>
          </w:p>
          <w:p w:rsidR="009417E6" w:rsidP="009417E6" w14:paraId="3DC03763" w14:textId="77777777">
            <w:pPr>
              <w:pStyle w:val="NoSpacing"/>
              <w:numPr>
                <w:ilvl w:val="0"/>
                <w:numId w:val="4"/>
              </w:numPr>
              <w:jc w:val="both"/>
              <w:rPr>
                <w:rFonts w:ascii="Times New Roman" w:hAnsi="Times New Roman"/>
              </w:rPr>
            </w:pPr>
            <w:r w:rsidRPr="009417E6">
              <w:rPr>
                <w:rFonts w:ascii="Times New Roman" w:hAnsi="Times New Roman"/>
              </w:rPr>
              <w:t xml:space="preserve">Tempo hodiny. Hodina by mala byť dynamická, ale s ohľadom na porozumenie preberaných súvislostí. To platí ako pre celú triedu, tak i pre jednotlivcov. </w:t>
            </w:r>
          </w:p>
          <w:p w:rsidR="009417E6" w:rsidP="009417E6" w14:paraId="61341DB5" w14:textId="77777777">
            <w:pPr>
              <w:pStyle w:val="NoSpacing"/>
              <w:numPr>
                <w:ilvl w:val="0"/>
                <w:numId w:val="4"/>
              </w:numPr>
              <w:jc w:val="both"/>
              <w:rPr>
                <w:rFonts w:ascii="Times New Roman" w:hAnsi="Times New Roman"/>
              </w:rPr>
            </w:pPr>
            <w:r w:rsidRPr="009417E6">
              <w:rPr>
                <w:rFonts w:ascii="Times New Roman" w:hAnsi="Times New Roman"/>
              </w:rPr>
              <w:t xml:space="preserve">Zmysluplnosť. Žiaci by mali vidieť zmysel v tom, čo sa učia. Mali by si uvedomovať, prečo je finančná gramotnosť dôležitá. </w:t>
            </w:r>
          </w:p>
          <w:p w:rsidR="009417E6" w:rsidP="009417E6" w14:paraId="074E5253" w14:textId="77777777">
            <w:pPr>
              <w:pStyle w:val="NoSpacing"/>
              <w:numPr>
                <w:ilvl w:val="0"/>
                <w:numId w:val="4"/>
              </w:numPr>
              <w:jc w:val="both"/>
              <w:rPr>
                <w:rFonts w:ascii="Times New Roman" w:hAnsi="Times New Roman"/>
              </w:rPr>
            </w:pPr>
            <w:r w:rsidRPr="009417E6">
              <w:rPr>
                <w:rFonts w:ascii="Times New Roman" w:hAnsi="Times New Roman"/>
              </w:rPr>
              <w:t xml:space="preserve">Využiteľnosť. Využiteľnosť sa týka najmä informácií, ktoré žiaci v rámci finančnej gramotnosti získavajú. Tieto informácie by mali byť prakticky využiteľné, čo súčasne vedie k lepšiemu zapamätaniu. </w:t>
            </w:r>
          </w:p>
          <w:p w:rsidR="009417E6" w:rsidP="009417E6" w14:paraId="6B5BACD7" w14:textId="77777777">
            <w:pPr>
              <w:pStyle w:val="NoSpacing"/>
              <w:numPr>
                <w:ilvl w:val="0"/>
                <w:numId w:val="4"/>
              </w:numPr>
              <w:jc w:val="both"/>
              <w:rPr>
                <w:rFonts w:ascii="Times New Roman" w:hAnsi="Times New Roman"/>
              </w:rPr>
            </w:pPr>
            <w:r w:rsidRPr="009417E6">
              <w:rPr>
                <w:rFonts w:ascii="Times New Roman" w:hAnsi="Times New Roman"/>
              </w:rPr>
              <w:t xml:space="preserve">Dôležitosť. Nie všetky informácie sú pre žiakov dôležité. Preto by sa mali naučiť rozpoznať, ktoré informácie by si vo vlastnom záujme mali osvojiť. </w:t>
            </w:r>
          </w:p>
          <w:p w:rsidR="009417E6" w:rsidP="005538B4" w14:paraId="484EC96C" w14:textId="77777777">
            <w:pPr>
              <w:pStyle w:val="NoSpacing"/>
              <w:jc w:val="both"/>
              <w:rPr>
                <w:rFonts w:ascii="Times New Roman" w:hAnsi="Times New Roman"/>
              </w:rPr>
            </w:pPr>
          </w:p>
          <w:p w:rsidR="0003707B" w:rsidP="005538B4" w14:paraId="294577A4" w14:textId="77777777">
            <w:pPr>
              <w:pStyle w:val="NoSpacing"/>
              <w:jc w:val="both"/>
              <w:rPr>
                <w:rFonts w:ascii="Times New Roman" w:hAnsi="Times New Roman"/>
              </w:rPr>
            </w:pPr>
            <w:r w:rsidRPr="009417E6">
              <w:rPr>
                <w:rFonts w:ascii="Times New Roman" w:hAnsi="Times New Roman"/>
              </w:rPr>
              <w:t xml:space="preserve">Finančné vzdelávanie je orientované na rozvíjanie zručností pre uplatnenie v živote, a preto by malo byť s každodenným životom úzko previazané. Je vhodné pripraviť také aktivity, ktoré umožňujú relatívne autentický zážitok finančnej situácie a ktoré vedú k osvojeniu stratégií zodpovedného rozhodovania. Na tento účel odporúčame najmä heuristickú metódu, resp. metódu riešenia problémov a situačné metódy. </w:t>
            </w:r>
          </w:p>
          <w:p w:rsidR="0003707B" w:rsidP="005538B4" w14:paraId="29B7B389" w14:textId="77777777">
            <w:pPr>
              <w:pStyle w:val="NoSpacing"/>
              <w:jc w:val="both"/>
              <w:rPr>
                <w:rFonts w:ascii="Times New Roman" w:hAnsi="Times New Roman"/>
              </w:rPr>
            </w:pPr>
          </w:p>
          <w:p w:rsidR="0003707B" w:rsidP="005538B4" w14:paraId="7DD61339" w14:textId="076F5475">
            <w:pPr>
              <w:pStyle w:val="NoSpacing"/>
              <w:jc w:val="both"/>
              <w:rPr>
                <w:rFonts w:ascii="Times New Roman" w:hAnsi="Times New Roman"/>
              </w:rPr>
            </w:pPr>
            <w:r w:rsidRPr="009417E6">
              <w:rPr>
                <w:rFonts w:ascii="Times New Roman" w:hAnsi="Times New Roman"/>
              </w:rPr>
              <w:t xml:space="preserve">Heuristická metóda býva často charakterizovaná ako metóda učenia objavovaním. Žiakom sa nepredkladajú hotové fakty alebo výsledky, ale sú podnecovaní, aby sami hľadali riešenia. </w:t>
            </w:r>
          </w:p>
          <w:p w:rsidR="0003707B" w:rsidP="005538B4" w14:paraId="5507BD22" w14:textId="77777777">
            <w:pPr>
              <w:pStyle w:val="NoSpacing"/>
              <w:jc w:val="both"/>
              <w:rPr>
                <w:rFonts w:ascii="Times New Roman" w:hAnsi="Times New Roman"/>
              </w:rPr>
            </w:pPr>
          </w:p>
          <w:p w:rsidR="0003707B" w:rsidP="005538B4" w14:paraId="1677E01B" w14:textId="77777777">
            <w:pPr>
              <w:pStyle w:val="NoSpacing"/>
              <w:jc w:val="both"/>
              <w:rPr>
                <w:rFonts w:ascii="Times New Roman" w:hAnsi="Times New Roman"/>
              </w:rPr>
            </w:pPr>
            <w:r w:rsidRPr="009417E6">
              <w:rPr>
                <w:rFonts w:ascii="Times New Roman" w:hAnsi="Times New Roman"/>
              </w:rPr>
              <w:t xml:space="preserve">Situačné metódy majú veľmi blízko k životnej realite. Ich podstatou je riešenie istej problémovej situácie, ktorá je zrkadlom skutočnej udalosti. Žiaci potom používajú svoje vedomosti a zručnosti, pracujú s informačnými zdrojmi, ale zohľadňujú aj svoje skúsenosti, názory a postoje. Spoločne diskutujú o možných riešeniach, hľadajú ich výhody a nevýhody a rozhodujú sa, ktoré riešenie je za daných podmienok najlepšie. </w:t>
            </w:r>
          </w:p>
          <w:p w:rsidR="0003707B" w:rsidP="005538B4" w14:paraId="32E60F98" w14:textId="77777777">
            <w:pPr>
              <w:pStyle w:val="NoSpacing"/>
              <w:jc w:val="both"/>
              <w:rPr>
                <w:rFonts w:ascii="Times New Roman" w:hAnsi="Times New Roman"/>
              </w:rPr>
            </w:pPr>
          </w:p>
          <w:p w:rsidR="0003707B" w:rsidP="005538B4" w14:paraId="43FDB6EB" w14:textId="595F0A06">
            <w:pPr>
              <w:pStyle w:val="NoSpacing"/>
              <w:jc w:val="both"/>
              <w:rPr>
                <w:rFonts w:ascii="Times New Roman" w:hAnsi="Times New Roman"/>
              </w:rPr>
            </w:pPr>
            <w:r w:rsidRPr="009417E6">
              <w:rPr>
                <w:rFonts w:ascii="Times New Roman" w:hAnsi="Times New Roman"/>
              </w:rPr>
              <w:t xml:space="preserve">Spolupráca pri dosahovaní spoločných cieľov je jednou z charakteristík kooperatívneho učenia sa. Jedným prínosom je aktivizácia žiakov, rozvíjanie komunikácie, vzájomné obohacovanie sa a posilňovanie sociálneho rozvoja žiakov. Výučbe nedominuje interakcia medzi učiteľom a žiakom, výrazne je posilnená vzájomná interakcia medzi žiakmi, pretože sú členovia skupiny pri práci na sebe závislí. Učia sa tým prekonávať súťaživosť v prospech spolupráce a tolerancie. Žiaci si môžu odovzdávať skúsenosti, môžu sa od seba navzájom učiť a môžu tak prirodzene formovať svoje názory a postoje v skupine vrstovníkov. Práca v skupine umožňuje každému zapojiť sa podľa svojich možností a schopností, dáva možnosť vyniknúť a uplatniť vedomosti či prednosti, ktoré ostatní nemajú. </w:t>
            </w:r>
          </w:p>
          <w:p w:rsidR="0003707B" w:rsidP="005538B4" w14:paraId="194CC02C" w14:textId="77777777">
            <w:pPr>
              <w:pStyle w:val="NoSpacing"/>
              <w:jc w:val="both"/>
              <w:rPr>
                <w:rFonts w:ascii="Times New Roman" w:hAnsi="Times New Roman"/>
              </w:rPr>
            </w:pPr>
          </w:p>
          <w:p w:rsidR="0003707B" w:rsidP="005538B4" w14:paraId="2BEF56B7" w14:textId="2C2BE822">
            <w:pPr>
              <w:pStyle w:val="NoSpacing"/>
              <w:jc w:val="both"/>
              <w:rPr>
                <w:rFonts w:ascii="Times New Roman" w:hAnsi="Times New Roman"/>
              </w:rPr>
            </w:pPr>
            <w:r w:rsidRPr="009417E6">
              <w:rPr>
                <w:rFonts w:ascii="Times New Roman" w:hAnsi="Times New Roman"/>
              </w:rPr>
              <w:t xml:space="preserve">Projektová metóda vnáša do vyučovania poznanie, viac reality a samostatného hľadania informácií, tak isto pomáha u žiakov vytvárať potrebné životné kompetencie. Ide o spoločné premýšľanie, diskusiu či spoločné riešenie, ktoré vedie k uskutočneniu cieľa. Žiaci pracujú v skupine, čo podporuje ich spoluprácu. Využívajú pri tom dostupné zdroje, pri ktorých sa učia rozlišovať ich vierohodnosť. Výučba teda nemusí prebiehať len v priestoroch učebne. </w:t>
            </w:r>
          </w:p>
          <w:p w:rsidR="0003707B" w:rsidP="005538B4" w14:paraId="4D19FFE3" w14:textId="77777777">
            <w:pPr>
              <w:pStyle w:val="NoSpacing"/>
              <w:jc w:val="both"/>
              <w:rPr>
                <w:rFonts w:ascii="Times New Roman" w:hAnsi="Times New Roman"/>
              </w:rPr>
            </w:pPr>
          </w:p>
          <w:p w:rsidR="0003707B" w:rsidP="005538B4" w14:paraId="1D2512BC" w14:textId="52E5EA6C">
            <w:pPr>
              <w:pStyle w:val="NoSpacing"/>
              <w:jc w:val="both"/>
              <w:rPr>
                <w:rFonts w:ascii="Times New Roman" w:hAnsi="Times New Roman"/>
              </w:rPr>
            </w:pPr>
            <w:r w:rsidRPr="009417E6">
              <w:rPr>
                <w:rFonts w:ascii="Times New Roman" w:hAnsi="Times New Roman"/>
              </w:rPr>
              <w:t xml:space="preserve">Inscenačné metódy založené na simulácii a hraní rolí sú jednou z možností, ako žiakov vtiahnuť do finančnej problematiky. Je možné tak rozvíjať finančné stratégie, ale zároveň nepracovať s citlivými údajmi. Aj z tohto dôvodu majú tieto metódy vo finančnom vzdelávaní široké uplatnenie. Umožňujú hlbšie porozumenie vzdelávaciemu obsahu, ale sú vhodné najmä pre rozvoj sociálnych zručností, kedy sa žiaci učia rozhodovať. Žiaci sa správajú tak, ako to vyžaduje ich rola, vciťujú sa do situácie. Hrať rolu v prevažnej miere dospelých je pre žiakov motivujúce a zábavné. Tým, že žiaci predstierajú inú osobu, môžu problém preskúmať z iného uhla pohľadu. </w:t>
            </w:r>
          </w:p>
          <w:p w:rsidR="0003707B" w:rsidP="005538B4" w14:paraId="39C1B43F" w14:textId="77777777">
            <w:pPr>
              <w:pStyle w:val="NoSpacing"/>
              <w:jc w:val="both"/>
              <w:rPr>
                <w:rFonts w:ascii="Times New Roman" w:hAnsi="Times New Roman"/>
              </w:rPr>
            </w:pPr>
          </w:p>
          <w:p w:rsidR="0003707B" w:rsidP="005538B4" w14:paraId="6896C2F9" w14:textId="77777777">
            <w:pPr>
              <w:pStyle w:val="NoSpacing"/>
              <w:jc w:val="both"/>
              <w:rPr>
                <w:rFonts w:ascii="Times New Roman" w:hAnsi="Times New Roman"/>
              </w:rPr>
            </w:pPr>
            <w:r w:rsidRPr="009417E6">
              <w:rPr>
                <w:rFonts w:ascii="Times New Roman" w:hAnsi="Times New Roman"/>
              </w:rPr>
              <w:t xml:space="preserve">Pre viaceré témy finančného vzdelávania sú veľmi vhodné diskusie a diskusné hry. Žiaci môžu byť rozdelení i na skupiny obhajujúce určitý názor či postoj alebo môže ísť o diskusiu žiakov a učiteľa. Žiaci by sa mali na diskusiu vopred pripraviť, nájsť si argumenty a podklady pre svoje tvrdenia. Diskusné hry precvičujú schopnosť komunikácie, vyjednávania a dosahovania súhlasu, formulácie názoru a pocitu, načúvania, vciťovania sa. Slúžia aj k ujasňovaniu a formovaniu hodnôt a postojov, zamysleniu sa nad novými problémami. Na dosiahnutie týchto cieľov však nestačí predložiť zaujímavú tému a nechať skupinu, aby ju neorganizovane riešila. Je potrebné stanoviť pravidlá diskusie a kontrolovať ich dodržiavanie. </w:t>
            </w:r>
          </w:p>
          <w:p w:rsidR="0003707B" w:rsidP="005538B4" w14:paraId="1AB24BED" w14:textId="77777777">
            <w:pPr>
              <w:pStyle w:val="NoSpacing"/>
              <w:jc w:val="both"/>
              <w:rPr>
                <w:rFonts w:ascii="Times New Roman" w:hAnsi="Times New Roman"/>
              </w:rPr>
            </w:pPr>
          </w:p>
          <w:p w:rsidR="0003707B" w:rsidP="005538B4" w14:paraId="33A7CEFC" w14:textId="77777777">
            <w:pPr>
              <w:pStyle w:val="NoSpacing"/>
              <w:jc w:val="both"/>
              <w:rPr>
                <w:rFonts w:ascii="Times New Roman" w:hAnsi="Times New Roman"/>
              </w:rPr>
            </w:pPr>
            <w:r w:rsidRPr="009417E6">
              <w:rPr>
                <w:rFonts w:ascii="Times New Roman" w:hAnsi="Times New Roman"/>
              </w:rPr>
              <w:t xml:space="preserve">Odporúčame do vyučovania zaraďovať ďalšie metódy: </w:t>
            </w:r>
          </w:p>
          <w:p w:rsidR="0003707B" w:rsidP="005538B4" w14:paraId="21D78355" w14:textId="77777777">
            <w:pPr>
              <w:pStyle w:val="NoSpacing"/>
              <w:jc w:val="both"/>
              <w:rPr>
                <w:rFonts w:ascii="Times New Roman" w:hAnsi="Times New Roman"/>
              </w:rPr>
            </w:pPr>
          </w:p>
          <w:p w:rsidR="0003707B" w:rsidP="005538B4" w14:paraId="25E7B418" w14:textId="4492E848">
            <w:pPr>
              <w:pStyle w:val="NoSpacing"/>
              <w:jc w:val="both"/>
              <w:rPr>
                <w:rFonts w:ascii="Times New Roman" w:hAnsi="Times New Roman"/>
              </w:rPr>
            </w:pPr>
            <w:r w:rsidRPr="009417E6">
              <w:rPr>
                <w:rFonts w:ascii="Times New Roman" w:hAnsi="Times New Roman"/>
              </w:rPr>
              <w:t xml:space="preserve">Brainstorming – predstavuje skupinovú techniku zameranú na získanie čo najväčšieho množstva nápadov na danú tému. Je založená na skupinovom výkone. Princíp spočíva v tom, že členovia skupiny sú schopní vyprodukovať oveľa viac nápadov, ako by vymysleli jednotlivo. Pri brainstormingu je </w:t>
            </w:r>
            <w:r w:rsidRPr="009417E6">
              <w:rPr>
                <w:rFonts w:ascii="Times New Roman" w:hAnsi="Times New Roman"/>
              </w:rPr>
              <w:t xml:space="preserve">nutné dodržiavať pravidlá, najmä to, že zverejnené nápady nebudú nikým komentované ani hodnotené. I ten zdanlivo najbláznivejší nápad môže totiž niekoho ďalšieho 18 inšpirovať. </w:t>
            </w:r>
          </w:p>
          <w:p w:rsidR="0003707B" w:rsidP="005538B4" w14:paraId="290D11D8" w14:textId="77777777">
            <w:pPr>
              <w:pStyle w:val="NoSpacing"/>
              <w:jc w:val="both"/>
              <w:rPr>
                <w:rFonts w:ascii="Times New Roman" w:hAnsi="Times New Roman"/>
              </w:rPr>
            </w:pPr>
          </w:p>
          <w:p w:rsidR="004672B8" w:rsidP="005538B4" w14:paraId="1EA8B41A" w14:textId="77777777">
            <w:pPr>
              <w:pStyle w:val="NoSpacing"/>
              <w:jc w:val="both"/>
              <w:rPr>
                <w:rFonts w:ascii="Times New Roman" w:hAnsi="Times New Roman"/>
              </w:rPr>
            </w:pPr>
            <w:r w:rsidRPr="009417E6">
              <w:rPr>
                <w:rFonts w:ascii="Times New Roman" w:hAnsi="Times New Roman"/>
              </w:rPr>
              <w:t xml:space="preserve">Ice breaker (prelomenie ľadov, ľadolamka) sa zaraďuje na začiatok hodiny, pred úvodný informačný blok. Poskytuje priestor na bližšie vzájomné zoznámenie. Slúži k prelomeniu ľadov, k prekonaniu začiatočných formálnych bariér, k odpútaniu účastníkov od problémov každodenného života, na naladenie sa na program a na navodenie neformálnej priateľskej atmosféry. Vhodný je tiež vtip alebo krátky príbeh. </w:t>
            </w:r>
          </w:p>
          <w:p w:rsidR="004672B8" w:rsidP="005538B4" w14:paraId="528B169F" w14:textId="77777777">
            <w:pPr>
              <w:pStyle w:val="NoSpacing"/>
              <w:jc w:val="both"/>
              <w:rPr>
                <w:rFonts w:ascii="Times New Roman" w:hAnsi="Times New Roman"/>
              </w:rPr>
            </w:pPr>
          </w:p>
          <w:p w:rsidR="004672B8" w:rsidP="005538B4" w14:paraId="51AB23B6" w14:textId="77777777">
            <w:pPr>
              <w:pStyle w:val="NoSpacing"/>
              <w:jc w:val="both"/>
              <w:rPr>
                <w:rFonts w:ascii="Times New Roman" w:hAnsi="Times New Roman"/>
              </w:rPr>
            </w:pPr>
            <w:r w:rsidRPr="009417E6">
              <w:rPr>
                <w:rFonts w:ascii="Times New Roman" w:hAnsi="Times New Roman"/>
              </w:rPr>
              <w:t xml:space="preserve">Doplňovačky, osemsmerovky – tvoria metodický základ, ktorý je jednoduchý a časovo nenáročný. Ide o rýchle cvičenia, pomocou ktorých si žiaci zopakujú to podstatné z preberanej látky. Niekedy môžu slúžiť aj ako motivácia. </w:t>
            </w:r>
          </w:p>
          <w:p w:rsidR="004672B8" w:rsidP="005538B4" w14:paraId="03F01708" w14:textId="77777777">
            <w:pPr>
              <w:pStyle w:val="NoSpacing"/>
              <w:jc w:val="both"/>
              <w:rPr>
                <w:rFonts w:ascii="Times New Roman" w:hAnsi="Times New Roman"/>
              </w:rPr>
            </w:pPr>
            <w:r w:rsidRPr="009417E6">
              <w:rPr>
                <w:rFonts w:ascii="Times New Roman" w:hAnsi="Times New Roman"/>
              </w:rPr>
              <w:t xml:space="preserve">Učebnú metódu zvolí vyučujúci v závislosti od preberaného učiva. Pri niektorých témach je vhodnejší tradičný frontálny výklad spojený so záverečným zopakovaním, pri iných aktivizujúce metódy. </w:t>
            </w:r>
          </w:p>
          <w:p w:rsidR="004672B8" w:rsidP="005538B4" w14:paraId="00BABEED" w14:textId="77777777">
            <w:pPr>
              <w:pStyle w:val="NoSpacing"/>
              <w:jc w:val="both"/>
              <w:rPr>
                <w:rFonts w:ascii="Times New Roman" w:hAnsi="Times New Roman"/>
              </w:rPr>
            </w:pPr>
          </w:p>
          <w:p w:rsidR="004672B8" w:rsidP="005538B4" w14:paraId="53FB8180" w14:textId="77777777">
            <w:pPr>
              <w:pStyle w:val="NoSpacing"/>
              <w:jc w:val="both"/>
              <w:rPr>
                <w:rFonts w:ascii="Times New Roman" w:hAnsi="Times New Roman"/>
              </w:rPr>
            </w:pPr>
            <w:r w:rsidRPr="009417E6">
              <w:rPr>
                <w:rFonts w:ascii="Times New Roman" w:hAnsi="Times New Roman"/>
              </w:rPr>
              <w:t xml:space="preserve">Didaktické hry predstavujú ďalšiu možnosť, ako v praxi realizovať alebo spestriť finančné vzdelávanie. 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w:t>
            </w:r>
          </w:p>
          <w:p w:rsidR="004672B8" w:rsidP="005538B4" w14:paraId="16E26250" w14:textId="77777777">
            <w:pPr>
              <w:pStyle w:val="NoSpacing"/>
              <w:jc w:val="both"/>
              <w:rPr>
                <w:rFonts w:ascii="Times New Roman" w:hAnsi="Times New Roman"/>
              </w:rPr>
            </w:pPr>
          </w:p>
          <w:p w:rsidR="004672B8" w:rsidP="005538B4" w14:paraId="046C259C" w14:textId="77777777">
            <w:pPr>
              <w:pStyle w:val="NoSpacing"/>
              <w:jc w:val="both"/>
              <w:rPr>
                <w:rFonts w:ascii="Times New Roman" w:hAnsi="Times New Roman"/>
              </w:rPr>
            </w:pPr>
            <w:r w:rsidRPr="009417E6">
              <w:rPr>
                <w:rFonts w:ascii="Times New Roman" w:hAnsi="Times New Roman"/>
              </w:rPr>
              <w:t xml:space="preserve">Zbierať skúsenosti s hraním didaktických hier: </w:t>
            </w:r>
          </w:p>
          <w:p w:rsidR="004672B8" w:rsidP="004672B8" w14:paraId="7CC52A93" w14:textId="77777777">
            <w:pPr>
              <w:pStyle w:val="NoSpacing"/>
              <w:numPr>
                <w:ilvl w:val="0"/>
                <w:numId w:val="6"/>
              </w:numPr>
              <w:jc w:val="both"/>
              <w:rPr>
                <w:rFonts w:ascii="Times New Roman" w:hAnsi="Times New Roman"/>
              </w:rPr>
            </w:pPr>
            <w:r w:rsidRPr="009417E6">
              <w:rPr>
                <w:rFonts w:ascii="Times New Roman" w:hAnsi="Times New Roman"/>
              </w:rPr>
              <w:t xml:space="preserve">Čerpať námety z odborných publikácií. </w:t>
            </w:r>
          </w:p>
          <w:p w:rsidR="004672B8" w:rsidP="004672B8" w14:paraId="7D8A1390" w14:textId="77777777">
            <w:pPr>
              <w:pStyle w:val="NoSpacing"/>
              <w:numPr>
                <w:ilvl w:val="0"/>
                <w:numId w:val="6"/>
              </w:numPr>
              <w:jc w:val="both"/>
              <w:rPr>
                <w:rFonts w:ascii="Times New Roman" w:hAnsi="Times New Roman"/>
              </w:rPr>
            </w:pPr>
            <w:r w:rsidRPr="009417E6">
              <w:rPr>
                <w:rFonts w:ascii="Times New Roman" w:hAnsi="Times New Roman"/>
              </w:rPr>
              <w:t xml:space="preserve">Získať osobnú skúsenosť s hraním týchto hier. Vyskúšať didaktické hry na vyučovaní. </w:t>
            </w:r>
          </w:p>
          <w:p w:rsidR="004672B8" w:rsidP="004672B8" w14:paraId="6456561E" w14:textId="77777777">
            <w:pPr>
              <w:pStyle w:val="NoSpacing"/>
              <w:numPr>
                <w:ilvl w:val="0"/>
                <w:numId w:val="6"/>
              </w:numPr>
              <w:jc w:val="both"/>
              <w:rPr>
                <w:rFonts w:ascii="Times New Roman" w:hAnsi="Times New Roman"/>
              </w:rPr>
            </w:pPr>
            <w:r w:rsidRPr="009417E6">
              <w:rPr>
                <w:rFonts w:ascii="Times New Roman" w:hAnsi="Times New Roman"/>
              </w:rPr>
              <w:t xml:space="preserve">Vyskúšať hru napr. Platí, platí, ..., Pravda a lož, Deľba práce, Hra na poisťovňu, Staroveké a stredoveké trhovisko, Behavé učenie, Hospodárenie v rodine, Trh s jablkami, PixWords. </w:t>
            </w:r>
          </w:p>
          <w:p w:rsidR="004672B8" w:rsidP="004672B8" w14:paraId="33D8F64E" w14:textId="77777777">
            <w:pPr>
              <w:pStyle w:val="NoSpacing"/>
              <w:numPr>
                <w:ilvl w:val="0"/>
                <w:numId w:val="6"/>
              </w:numPr>
              <w:jc w:val="both"/>
              <w:rPr>
                <w:rFonts w:ascii="Times New Roman" w:hAnsi="Times New Roman"/>
              </w:rPr>
            </w:pPr>
            <w:r w:rsidRPr="009417E6">
              <w:rPr>
                <w:rFonts w:ascii="Times New Roman" w:hAnsi="Times New Roman"/>
              </w:rPr>
              <w:t xml:space="preserve">Využívať rôzne dostupné aplikácie s finančnou tematikou. </w:t>
            </w:r>
          </w:p>
          <w:p w:rsidR="004672B8" w:rsidP="005538B4" w14:paraId="046DF827" w14:textId="77777777">
            <w:pPr>
              <w:pStyle w:val="NoSpacing"/>
              <w:jc w:val="both"/>
              <w:rPr>
                <w:rFonts w:ascii="Times New Roman" w:hAnsi="Times New Roman"/>
              </w:rPr>
            </w:pPr>
          </w:p>
          <w:p w:rsidR="009417E6" w:rsidP="005538B4" w14:paraId="2643F109" w14:textId="689EE349">
            <w:pPr>
              <w:pStyle w:val="NoSpacing"/>
              <w:jc w:val="both"/>
              <w:rPr>
                <w:rFonts w:ascii="Times New Roman" w:hAnsi="Times New Roman"/>
              </w:rPr>
            </w:pPr>
            <w:r w:rsidRPr="009417E6">
              <w:rPr>
                <w:rFonts w:ascii="Times New Roman" w:hAnsi="Times New Roman"/>
              </w:rPr>
              <w:t>Praktickou doplňujúcou súčasťou finančného vzdelávania sú rôzne programy a projekty, ktoré ponúkajú rôznorodé organizácie školám (napr. Junior Achievement Slovensko, nezisková organizácia EDULAB, Nadácia pre deti Slovenska, občianske združenie ETP Slovensko, Nadácia otvorenej spoločnosti, Finančná akadémia s. r. o. a i.)</w:t>
            </w:r>
          </w:p>
          <w:p w:rsidR="004672B8" w:rsidP="005538B4" w14:paraId="17540BA6" w14:textId="77777777">
            <w:pPr>
              <w:pStyle w:val="NoSpacing"/>
              <w:jc w:val="both"/>
              <w:rPr>
                <w:rFonts w:ascii="Times New Roman" w:hAnsi="Times New Roman"/>
              </w:rPr>
            </w:pPr>
            <w:r>
              <w:rPr>
                <w:rFonts w:ascii="Times New Roman" w:hAnsi="Times New Roman"/>
              </w:rPr>
              <w:t xml:space="preserve">Zdroj: </w:t>
            </w:r>
          </w:p>
          <w:p w:rsidR="004672B8" w:rsidP="005538B4" w14:paraId="79C1758F" w14:textId="4E4003EC">
            <w:pPr>
              <w:pStyle w:val="NoSpacing"/>
              <w:jc w:val="both"/>
              <w:rPr>
                <w:rFonts w:ascii="Times New Roman" w:hAnsi="Times New Roman"/>
              </w:rPr>
            </w:pPr>
            <w:hyperlink r:id="rId7" w:history="1">
              <w:r w:rsidRPr="004672B8">
                <w:rPr>
                  <w:rStyle w:val="Hyperlink"/>
                  <w:rFonts w:ascii="Times New Roman" w:hAnsi="Times New Roman"/>
                  <w:color w:val="auto"/>
                  <w:u w:val="none"/>
                </w:rPr>
                <w:t>https://www.statpedu.sk/files/sk/metodicky-portal/metodicke-podnety/fg_metodika_01092018.pdf</w:t>
              </w:r>
            </w:hyperlink>
          </w:p>
          <w:p w:rsidR="004672B8" w:rsidRPr="00D40050" w:rsidP="005538B4" w14:paraId="3EC5F68B" w14:textId="6E7781F5">
            <w:pPr>
              <w:pStyle w:val="NoSpacing"/>
              <w:jc w:val="both"/>
              <w:rPr>
                <w:rFonts w:ascii="Times New Roman" w:hAnsi="Times New Roman"/>
              </w:rPr>
            </w:pPr>
          </w:p>
        </w:tc>
      </w:tr>
      <w:tr w14:paraId="48A1A3C8" w14:textId="77777777" w:rsidTr="00BD60E8">
        <w:tblPrEx>
          <w:tblW w:w="0" w:type="auto"/>
          <w:tblLook w:val="00A0"/>
        </w:tblPrEx>
        <w:trPr>
          <w:trHeight w:val="1401"/>
        </w:trPr>
        <w:tc>
          <w:tcPr>
            <w:tcW w:w="0" w:type="auto"/>
          </w:tcPr>
          <w:p w:rsidR="00731428" w:rsidRPr="007A2081" w:rsidP="002C28B6" w14:paraId="6DAF4E03" w14:textId="77777777">
            <w:pPr>
              <w:pStyle w:val="ListParagraph"/>
              <w:numPr>
                <w:ilvl w:val="0"/>
                <w:numId w:val="1"/>
              </w:numPr>
              <w:tabs>
                <w:tab w:val="left" w:pos="743"/>
              </w:tabs>
              <w:spacing w:after="0" w:line="240" w:lineRule="auto"/>
              <w:ind w:left="0" w:firstLine="318"/>
              <w:jc w:val="both"/>
              <w:rPr>
                <w:rFonts w:ascii="Times New Roman" w:hAnsi="Times New Roman"/>
                <w:b/>
              </w:rPr>
            </w:pPr>
            <w:r w:rsidRPr="007A2081">
              <w:rPr>
                <w:rFonts w:ascii="Times New Roman" w:hAnsi="Times New Roman"/>
                <w:b/>
              </w:rPr>
              <w:t>Závery a odporúčania:</w:t>
            </w:r>
          </w:p>
          <w:p w:rsidR="007A2081" w:rsidP="008E42F3" w14:paraId="7950A8FF" w14:textId="77777777">
            <w:pPr>
              <w:tabs>
                <w:tab w:val="left" w:pos="1114"/>
              </w:tabs>
              <w:spacing w:after="0" w:line="240" w:lineRule="auto"/>
              <w:jc w:val="both"/>
              <w:rPr>
                <w:rFonts w:ascii="Times New Roman" w:hAnsi="Times New Roman"/>
                <w:b/>
              </w:rPr>
            </w:pPr>
          </w:p>
          <w:p w:rsidR="00AB0D28" w:rsidP="001A4128" w14:paraId="19162609" w14:textId="77777777">
            <w:pPr>
              <w:pStyle w:val="ListParagraph"/>
              <w:tabs>
                <w:tab w:val="left" w:pos="1114"/>
              </w:tabs>
              <w:spacing w:after="0" w:line="240" w:lineRule="auto"/>
              <w:ind w:left="0"/>
              <w:jc w:val="both"/>
              <w:rPr>
                <w:rFonts w:ascii="Times New Roman" w:hAnsi="Times New Roman"/>
                <w:b/>
                <w:color w:val="000000"/>
              </w:rPr>
            </w:pPr>
            <w:r w:rsidRPr="00A95E37">
              <w:rPr>
                <w:rFonts w:ascii="Times New Roman" w:hAnsi="Times New Roman"/>
                <w:b/>
              </w:rPr>
              <w:t xml:space="preserve">I. </w:t>
            </w:r>
            <w:r w:rsidRPr="004672B8" w:rsidR="004672B8">
              <w:rPr>
                <w:rFonts w:ascii="Times New Roman" w:hAnsi="Times New Roman"/>
                <w:b/>
                <w:bCs/>
              </w:rPr>
              <w:t>Členovia klubu finančnej gramotnosti aktualizovali svojej poznatky z oblasti finančnej gramotnosti. Zaoberali sa Národným štandardom finančnej gramotnosti, pri ktorom si zopakovali základné ciele a smerovania samotnej výuky finančnej gramotnosti.</w:t>
            </w:r>
          </w:p>
          <w:p w:rsidR="001A4128" w:rsidRPr="00AB0D28" w:rsidP="001A4128" w14:paraId="340FB2DC" w14:textId="7DED7107">
            <w:pPr>
              <w:pStyle w:val="ListParagraph"/>
              <w:tabs>
                <w:tab w:val="left" w:pos="1114"/>
              </w:tabs>
              <w:spacing w:after="0" w:line="240" w:lineRule="auto"/>
              <w:ind w:left="0"/>
              <w:jc w:val="both"/>
              <w:rPr>
                <w:rFonts w:ascii="Times New Roman" w:hAnsi="Times New Roman"/>
                <w:b/>
                <w:color w:val="000000"/>
              </w:rPr>
            </w:pPr>
            <w:r w:rsidRPr="002C28B6">
              <w:rPr>
                <w:rFonts w:ascii="Times New Roman" w:hAnsi="Times New Roman"/>
                <w:b/>
                <w:color w:val="000000"/>
              </w:rPr>
              <w:t xml:space="preserve">II. </w:t>
            </w:r>
            <w:r w:rsidRPr="004672B8" w:rsidR="004672B8">
              <w:rPr>
                <w:rFonts w:ascii="Times New Roman" w:hAnsi="Times New Roman"/>
                <w:b/>
                <w:bCs/>
              </w:rPr>
              <w:t>Členovia klubu finančnej gramotnosti aktualizovali svojej poznatky z oblasti finančnej gramotnosti</w:t>
            </w:r>
            <w:r w:rsidR="004672B8">
              <w:rPr>
                <w:rFonts w:ascii="Times New Roman" w:hAnsi="Times New Roman"/>
                <w:b/>
                <w:bCs/>
              </w:rPr>
              <w:t>, konkrétne z oblasti metodiky výuky</w:t>
            </w:r>
            <w:r w:rsidRPr="004672B8" w:rsidR="004672B8">
              <w:rPr>
                <w:rFonts w:ascii="Times New Roman" w:hAnsi="Times New Roman"/>
                <w:b/>
                <w:bCs/>
              </w:rPr>
              <w:t xml:space="preserve">. </w:t>
            </w:r>
            <w:r w:rsidR="004672B8">
              <w:rPr>
                <w:rFonts w:ascii="Times New Roman" w:hAnsi="Times New Roman"/>
                <w:b/>
                <w:bCs/>
              </w:rPr>
              <w:t>V rámci diskusie sa z</w:t>
            </w:r>
            <w:r w:rsidRPr="004672B8" w:rsidR="004672B8">
              <w:rPr>
                <w:rFonts w:ascii="Times New Roman" w:hAnsi="Times New Roman"/>
                <w:b/>
                <w:bCs/>
              </w:rPr>
              <w:t>aoberali metodikov výučby finančnej gramotnosti a jej aktualizáciou.</w:t>
            </w:r>
            <w:r w:rsidR="004672B8">
              <w:rPr>
                <w:rFonts w:ascii="Times New Roman" w:hAnsi="Times New Roman"/>
                <w:b/>
                <w:bCs/>
              </w:rPr>
              <w:t xml:space="preserve"> Využili dostupné materiály z internetu.</w:t>
            </w:r>
          </w:p>
          <w:p w:rsidR="00A95E37" w:rsidP="001A4128" w14:paraId="6DA41F74" w14:textId="77777777">
            <w:pPr>
              <w:pStyle w:val="ListParagraph"/>
              <w:tabs>
                <w:tab w:val="left" w:pos="1114"/>
              </w:tabs>
              <w:spacing w:after="0" w:line="240" w:lineRule="auto"/>
              <w:ind w:left="0"/>
              <w:jc w:val="both"/>
              <w:rPr>
                <w:rFonts w:ascii="Times New Roman" w:hAnsi="Times New Roman"/>
                <w:b/>
                <w:color w:val="000000"/>
              </w:rPr>
            </w:pPr>
          </w:p>
          <w:p w:rsidR="001A4128" w:rsidRPr="009978E3" w:rsidP="002C28B6" w14:paraId="27C5AF96" w14:textId="3DACE4A0">
            <w:pPr>
              <w:pStyle w:val="ListParagraph"/>
              <w:tabs>
                <w:tab w:val="left" w:pos="1114"/>
              </w:tabs>
              <w:spacing w:after="0" w:line="240" w:lineRule="auto"/>
              <w:ind w:left="0"/>
              <w:jc w:val="both"/>
              <w:rPr>
                <w:rFonts w:ascii="Times New Roman" w:hAnsi="Times New Roman"/>
                <w:b/>
                <w:color w:val="000000"/>
              </w:rPr>
            </w:pPr>
            <w:r>
              <w:rPr>
                <w:rFonts w:ascii="Times New Roman" w:hAnsi="Times New Roman"/>
                <w:b/>
                <w:color w:val="000000"/>
              </w:rPr>
              <w:t>III. Do budúceho stretnutia pedagogického kl</w:t>
            </w:r>
            <w:r w:rsidR="002C28B6">
              <w:rPr>
                <w:rFonts w:ascii="Times New Roman" w:hAnsi="Times New Roman"/>
                <w:b/>
                <w:color w:val="000000"/>
              </w:rPr>
              <w:t>ubu finančnej gramotnosti (</w:t>
            </w:r>
            <w:r w:rsidR="004672B8">
              <w:rPr>
                <w:rFonts w:ascii="Times New Roman" w:hAnsi="Times New Roman"/>
                <w:b/>
                <w:color w:val="000000"/>
              </w:rPr>
              <w:t>4</w:t>
            </w:r>
            <w:r w:rsidR="002C28B6">
              <w:rPr>
                <w:rFonts w:ascii="Times New Roman" w:hAnsi="Times New Roman"/>
                <w:b/>
                <w:color w:val="000000"/>
              </w:rPr>
              <w:t>.</w:t>
            </w:r>
            <w:r w:rsidR="004672B8">
              <w:rPr>
                <w:rFonts w:ascii="Times New Roman" w:hAnsi="Times New Roman"/>
                <w:b/>
                <w:color w:val="000000"/>
              </w:rPr>
              <w:t>4</w:t>
            </w:r>
            <w:r>
              <w:rPr>
                <w:rFonts w:ascii="Times New Roman" w:hAnsi="Times New Roman"/>
                <w:b/>
                <w:color w:val="000000"/>
              </w:rPr>
              <w:t xml:space="preserve">.2022) si </w:t>
            </w:r>
            <w:r w:rsidR="004672B8">
              <w:rPr>
                <w:rFonts w:ascii="Times New Roman" w:hAnsi="Times New Roman"/>
                <w:b/>
                <w:color w:val="000000"/>
              </w:rPr>
              <w:t>členovia pripravia námety a podklady k pripravovanej otvorenej hodine finančnej gramotnosti</w:t>
            </w:r>
            <w:r w:rsidR="002C28B6">
              <w:rPr>
                <w:rFonts w:ascii="Times New Roman" w:hAnsi="Times New Roman"/>
                <w:b/>
                <w:color w:val="000000"/>
              </w:rPr>
              <w:t>.</w:t>
            </w:r>
          </w:p>
        </w:tc>
      </w:tr>
    </w:tbl>
    <w:p w:rsidR="009978E3" w:rsidRPr="00B440DB" w:rsidP="00B440DB" w14:paraId="145585A3" w14:textId="2FF488FF">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5"/>
        <w:gridCol w:w="5037"/>
      </w:tblGrid>
      <w:tr w14:paraId="0DD6FC36" w14:textId="77777777" w:rsidTr="007B6C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077" w:type="dxa"/>
          </w:tcPr>
          <w:p w:rsidR="00F305BB" w:rsidRPr="007B6C7D" w:rsidP="002C28B6" w14:paraId="4D30F6AE"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P="007B6C7D" w14:paraId="6A7461C0" w14:textId="77777777">
            <w:pPr>
              <w:tabs>
                <w:tab w:val="left" w:pos="1114"/>
              </w:tabs>
              <w:spacing w:after="0" w:line="240" w:lineRule="auto"/>
            </w:pPr>
            <w:r>
              <w:t>PaedDr. Antónia Bartošová</w:t>
            </w:r>
          </w:p>
        </w:tc>
      </w:tr>
      <w:tr w14:paraId="4BF6B81E" w14:textId="77777777" w:rsidTr="007B6C7D">
        <w:tblPrEx>
          <w:tblW w:w="0" w:type="auto"/>
          <w:tblLook w:val="00A0"/>
        </w:tblPrEx>
        <w:tc>
          <w:tcPr>
            <w:tcW w:w="4077" w:type="dxa"/>
          </w:tcPr>
          <w:p w:rsidR="00F305BB" w:rsidRPr="007B6C7D" w:rsidP="002C28B6" w14:paraId="0B9667F5"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P="007B6C7D" w14:paraId="241EC84B" w14:textId="51E7CA2F">
            <w:pPr>
              <w:tabs>
                <w:tab w:val="left" w:pos="1114"/>
              </w:tabs>
              <w:spacing w:after="0" w:line="240" w:lineRule="auto"/>
            </w:pPr>
            <w:r>
              <w:t>30</w:t>
            </w:r>
            <w:r w:rsidR="001C19D1">
              <w:t>.</w:t>
            </w:r>
            <w:r w:rsidR="002E5FC9">
              <w:t>3</w:t>
            </w:r>
            <w:r w:rsidR="00C01FB2">
              <w:t>.20</w:t>
            </w:r>
            <w:r w:rsidR="00204559">
              <w:t>2</w:t>
            </w:r>
            <w:r w:rsidR="0031337F">
              <w:t>2</w:t>
            </w:r>
          </w:p>
        </w:tc>
      </w:tr>
      <w:tr w14:paraId="6BB1042C" w14:textId="77777777" w:rsidTr="007B6C7D">
        <w:tblPrEx>
          <w:tblW w:w="0" w:type="auto"/>
          <w:tblLook w:val="00A0"/>
        </w:tblPrEx>
        <w:tc>
          <w:tcPr>
            <w:tcW w:w="4077" w:type="dxa"/>
          </w:tcPr>
          <w:p w:rsidR="00F305BB" w:rsidRPr="007B6C7D" w:rsidP="002C28B6" w14:paraId="53022CB1"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P="007B6C7D" w14:paraId="15795B52" w14:textId="77777777">
            <w:pPr>
              <w:tabs>
                <w:tab w:val="left" w:pos="1114"/>
              </w:tabs>
              <w:spacing w:after="0" w:line="240" w:lineRule="auto"/>
            </w:pPr>
          </w:p>
        </w:tc>
      </w:tr>
      <w:tr w14:paraId="2A1782C6" w14:textId="77777777" w:rsidTr="007B6C7D">
        <w:tblPrEx>
          <w:tblW w:w="0" w:type="auto"/>
          <w:tblLook w:val="00A0"/>
        </w:tblPrEx>
        <w:tc>
          <w:tcPr>
            <w:tcW w:w="4077" w:type="dxa"/>
          </w:tcPr>
          <w:p w:rsidR="00DF1627" w:rsidRPr="007B6C7D" w:rsidP="002C28B6" w14:paraId="00F9EC59"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DF1627" w:rsidRPr="007B6C7D" w:rsidP="00993711" w14:paraId="0EECB63A" w14:textId="77777777">
            <w:pPr>
              <w:tabs>
                <w:tab w:val="left" w:pos="1114"/>
              </w:tabs>
              <w:spacing w:after="0" w:line="240" w:lineRule="auto"/>
            </w:pPr>
            <w:r>
              <w:t>Mgr. Stanislav Ďurek, PhD.</w:t>
            </w:r>
          </w:p>
        </w:tc>
      </w:tr>
      <w:tr w14:paraId="5921971F" w14:textId="77777777" w:rsidTr="007B6C7D">
        <w:tblPrEx>
          <w:tblW w:w="0" w:type="auto"/>
          <w:tblLook w:val="00A0"/>
        </w:tblPrEx>
        <w:tc>
          <w:tcPr>
            <w:tcW w:w="4077" w:type="dxa"/>
          </w:tcPr>
          <w:p w:rsidR="00DF1627" w:rsidRPr="007B6C7D" w:rsidP="002C28B6" w14:paraId="6300B1A5"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DF1627" w:rsidRPr="007B6C7D" w:rsidP="00993711" w14:paraId="2CABE29E" w14:textId="323E91DC">
            <w:pPr>
              <w:tabs>
                <w:tab w:val="left" w:pos="1114"/>
              </w:tabs>
              <w:spacing w:after="0" w:line="240" w:lineRule="auto"/>
            </w:pPr>
            <w:r>
              <w:t>30</w:t>
            </w:r>
            <w:r w:rsidR="001B07BD">
              <w:t>.</w:t>
            </w:r>
            <w:r w:rsidR="002E5FC9">
              <w:t>3</w:t>
            </w:r>
            <w:r w:rsidR="00204559">
              <w:t>.202</w:t>
            </w:r>
            <w:r w:rsidR="0031337F">
              <w:t>2</w:t>
            </w:r>
          </w:p>
        </w:tc>
      </w:tr>
      <w:tr w14:paraId="5DD5BE91" w14:textId="77777777" w:rsidTr="007B6C7D">
        <w:tblPrEx>
          <w:tblW w:w="0" w:type="auto"/>
          <w:tblLook w:val="00A0"/>
        </w:tblPrEx>
        <w:tc>
          <w:tcPr>
            <w:tcW w:w="4077" w:type="dxa"/>
          </w:tcPr>
          <w:p w:rsidR="00DF1627" w:rsidRPr="007B6C7D" w:rsidP="002C28B6" w14:paraId="78AF644A"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DF1627" w:rsidRPr="007B6C7D" w:rsidP="007B6C7D" w14:paraId="7BA75787" w14:textId="77777777">
            <w:pPr>
              <w:tabs>
                <w:tab w:val="left" w:pos="1114"/>
              </w:tabs>
              <w:spacing w:after="0" w:line="240" w:lineRule="auto"/>
            </w:pPr>
          </w:p>
        </w:tc>
      </w:tr>
    </w:tbl>
    <w:p w:rsidR="00A14C1A" w:rsidP="00B440DB" w14:paraId="56505740" w14:textId="77777777">
      <w:pPr>
        <w:tabs>
          <w:tab w:val="left" w:pos="1114"/>
        </w:tabs>
        <w:rPr>
          <w:rFonts w:ascii="Times New Roman" w:hAnsi="Times New Roman"/>
          <w:b/>
        </w:rPr>
      </w:pPr>
    </w:p>
    <w:p w:rsidR="00F305BB" w:rsidP="00B440DB" w14:paraId="56FF71C2" w14:textId="551AA3FF">
      <w:pPr>
        <w:tabs>
          <w:tab w:val="left" w:pos="1114"/>
        </w:tabs>
        <w:rPr>
          <w:rFonts w:ascii="Times New Roman" w:hAnsi="Times New Roman"/>
          <w:b/>
        </w:rPr>
      </w:pPr>
      <w:r>
        <w:rPr>
          <w:rFonts w:ascii="Times New Roman" w:hAnsi="Times New Roman"/>
          <w:b/>
        </w:rPr>
        <w:t>Príloha:</w:t>
      </w:r>
    </w:p>
    <w:p w:rsidR="008D61A6" w:rsidP="00A14C1A" w14:paraId="59F551EF" w14:textId="77777777">
      <w:pPr>
        <w:tabs>
          <w:tab w:val="left" w:pos="1114"/>
        </w:tabs>
      </w:pPr>
      <w:r>
        <w:rPr>
          <w:rFonts w:ascii="Times New Roman" w:hAnsi="Times New Roman"/>
        </w:rPr>
        <w:t>Prezenčná listina zo stretnutia pedagogického klubu</w:t>
      </w:r>
    </w:p>
    <w:p w:rsidR="00F305BB" w:rsidRPr="001544C0" w:rsidP="00A14C1A" w14:paraId="4C07A8ED" w14:textId="26B71D8C">
      <w:pPr>
        <w:tabs>
          <w:tab w:val="left" w:pos="1114"/>
        </w:tabs>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E7B">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xmlns:r="http://schemas.openxmlformats.org/officeDocument/2006/relationships" r:embed="rId5"/>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14:paraId="3905F030" w14:textId="77777777" w:rsidTr="001745A4">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28" w:type="dxa"/>
          </w:tcPr>
          <w:p w:rsidR="00F305BB" w:rsidRPr="007B6C7D" w:rsidP="001745A4" w14:paraId="5CE86A22" w14:textId="77777777">
            <w:pPr>
              <w:rPr>
                <w:spacing w:val="20"/>
                <w:sz w:val="20"/>
                <w:szCs w:val="20"/>
              </w:rPr>
            </w:pPr>
            <w:r w:rsidRPr="007B6C7D">
              <w:rPr>
                <w:spacing w:val="20"/>
                <w:sz w:val="20"/>
                <w:szCs w:val="20"/>
              </w:rPr>
              <w:t>Prioritná os:</w:t>
            </w:r>
          </w:p>
        </w:tc>
        <w:tc>
          <w:tcPr>
            <w:tcW w:w="5940" w:type="dxa"/>
          </w:tcPr>
          <w:p w:rsidR="00F305BB" w:rsidRPr="007B6C7D" w:rsidP="001745A4" w14:paraId="5B3C729E" w14:textId="77777777">
            <w:pPr>
              <w:rPr>
                <w:spacing w:val="20"/>
                <w:sz w:val="20"/>
                <w:szCs w:val="20"/>
              </w:rPr>
            </w:pPr>
            <w:r w:rsidRPr="007B6C7D">
              <w:rPr>
                <w:spacing w:val="20"/>
                <w:sz w:val="20"/>
                <w:szCs w:val="20"/>
              </w:rPr>
              <w:t>Vzdelávanie</w:t>
            </w:r>
          </w:p>
        </w:tc>
      </w:tr>
      <w:tr w14:paraId="1ADD36F5" w14:textId="77777777" w:rsidTr="001745A4">
        <w:tblPrEx>
          <w:tblW w:w="9468" w:type="dxa"/>
          <w:tblLook w:val="01E0"/>
        </w:tblPrEx>
        <w:tc>
          <w:tcPr>
            <w:tcW w:w="3528" w:type="dxa"/>
          </w:tcPr>
          <w:p w:rsidR="00F305BB" w:rsidRPr="001620FF" w:rsidP="001745A4" w14:paraId="33DC44A5" w14:textId="77777777">
            <w:pPr>
              <w:rPr>
                <w:spacing w:val="20"/>
                <w:sz w:val="20"/>
                <w:szCs w:val="20"/>
              </w:rPr>
            </w:pPr>
            <w:r w:rsidRPr="001620FF">
              <w:rPr>
                <w:spacing w:val="20"/>
                <w:sz w:val="20"/>
                <w:szCs w:val="20"/>
              </w:rPr>
              <w:t>Špecifický cieľ:</w:t>
            </w:r>
          </w:p>
        </w:tc>
        <w:tc>
          <w:tcPr>
            <w:tcW w:w="5940" w:type="dxa"/>
          </w:tcPr>
          <w:p w:rsidR="00F305BB" w:rsidRPr="001620FF" w:rsidP="001745A4" w14:paraId="2442344D" w14:textId="77777777">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14:paraId="46F7A50A" w14:textId="77777777" w:rsidTr="001745A4">
        <w:tblPrEx>
          <w:tblW w:w="9468" w:type="dxa"/>
          <w:tblLook w:val="01E0"/>
        </w:tblPrEx>
        <w:tc>
          <w:tcPr>
            <w:tcW w:w="3528" w:type="dxa"/>
          </w:tcPr>
          <w:p w:rsidR="00F305BB" w:rsidRPr="007B6C7D" w:rsidP="001745A4" w14:paraId="33920555" w14:textId="77777777">
            <w:pPr>
              <w:rPr>
                <w:spacing w:val="20"/>
                <w:sz w:val="20"/>
                <w:szCs w:val="20"/>
              </w:rPr>
            </w:pPr>
            <w:r w:rsidRPr="007B6C7D">
              <w:rPr>
                <w:spacing w:val="20"/>
                <w:sz w:val="20"/>
                <w:szCs w:val="20"/>
              </w:rPr>
              <w:t>Prijímateľ:</w:t>
            </w:r>
          </w:p>
        </w:tc>
        <w:tc>
          <w:tcPr>
            <w:tcW w:w="5940" w:type="dxa"/>
          </w:tcPr>
          <w:p w:rsidR="00F305BB" w:rsidRPr="007B6C7D" w:rsidP="001745A4" w14:paraId="03E36DCB" w14:textId="77777777">
            <w:pPr>
              <w:rPr>
                <w:spacing w:val="20"/>
                <w:sz w:val="20"/>
                <w:szCs w:val="20"/>
              </w:rPr>
            </w:pPr>
            <w:r>
              <w:rPr>
                <w:spacing w:val="20"/>
                <w:sz w:val="20"/>
                <w:szCs w:val="20"/>
              </w:rPr>
              <w:t>Gymnázium</w:t>
            </w:r>
          </w:p>
        </w:tc>
      </w:tr>
      <w:tr w14:paraId="779B28CD" w14:textId="77777777" w:rsidTr="001745A4">
        <w:tblPrEx>
          <w:tblW w:w="9468" w:type="dxa"/>
          <w:tblLook w:val="01E0"/>
        </w:tblPrEx>
        <w:tc>
          <w:tcPr>
            <w:tcW w:w="3528" w:type="dxa"/>
          </w:tcPr>
          <w:p w:rsidR="00F305BB" w:rsidRPr="007B6C7D" w:rsidP="001745A4" w14:paraId="2583557D" w14:textId="77777777">
            <w:pPr>
              <w:rPr>
                <w:spacing w:val="20"/>
                <w:sz w:val="20"/>
                <w:szCs w:val="20"/>
              </w:rPr>
            </w:pPr>
            <w:r w:rsidRPr="007B6C7D">
              <w:rPr>
                <w:spacing w:val="20"/>
                <w:sz w:val="20"/>
                <w:szCs w:val="20"/>
              </w:rPr>
              <w:t>Názov projektu:</w:t>
            </w:r>
          </w:p>
        </w:tc>
        <w:tc>
          <w:tcPr>
            <w:tcW w:w="5940" w:type="dxa"/>
          </w:tcPr>
          <w:p w:rsidR="00F305BB" w:rsidRPr="007B6C7D" w:rsidP="001745A4" w14:paraId="3A73629E" w14:textId="77777777">
            <w:pPr>
              <w:rPr>
                <w:spacing w:val="20"/>
                <w:sz w:val="20"/>
                <w:szCs w:val="20"/>
              </w:rPr>
            </w:pPr>
            <w:r>
              <w:rPr>
                <w:spacing w:val="20"/>
                <w:sz w:val="20"/>
                <w:szCs w:val="20"/>
              </w:rPr>
              <w:t>GYMZA číta, počíta a báda</w:t>
            </w:r>
          </w:p>
        </w:tc>
      </w:tr>
      <w:tr w14:paraId="6C920E24" w14:textId="77777777" w:rsidTr="001745A4">
        <w:tblPrEx>
          <w:tblW w:w="9468" w:type="dxa"/>
          <w:tblLook w:val="01E0"/>
        </w:tblPrEx>
        <w:tc>
          <w:tcPr>
            <w:tcW w:w="3528" w:type="dxa"/>
          </w:tcPr>
          <w:p w:rsidR="00F305BB" w:rsidRPr="007B6C7D" w:rsidP="001745A4" w14:paraId="167945C6" w14:textId="77777777">
            <w:pPr>
              <w:rPr>
                <w:spacing w:val="20"/>
                <w:sz w:val="20"/>
                <w:szCs w:val="20"/>
              </w:rPr>
            </w:pPr>
            <w:r w:rsidRPr="007B6C7D">
              <w:rPr>
                <w:spacing w:val="20"/>
                <w:sz w:val="20"/>
                <w:szCs w:val="20"/>
              </w:rPr>
              <w:t>Kód ITMS projektu:</w:t>
            </w:r>
          </w:p>
        </w:tc>
        <w:tc>
          <w:tcPr>
            <w:tcW w:w="5940" w:type="dxa"/>
          </w:tcPr>
          <w:p w:rsidR="00F305BB" w:rsidRPr="007B6C7D" w:rsidP="001745A4" w14:paraId="457675CD" w14:textId="77777777">
            <w:pPr>
              <w:rPr>
                <w:spacing w:val="20"/>
                <w:sz w:val="20"/>
                <w:szCs w:val="20"/>
              </w:rPr>
            </w:pPr>
            <w:r>
              <w:t>312011U517</w:t>
            </w:r>
          </w:p>
        </w:tc>
      </w:tr>
      <w:tr w14:paraId="5B7F5E0B" w14:textId="77777777" w:rsidTr="001745A4">
        <w:tblPrEx>
          <w:tblW w:w="9468" w:type="dxa"/>
          <w:tblLook w:val="01E0"/>
        </w:tblPrEx>
        <w:tc>
          <w:tcPr>
            <w:tcW w:w="3528" w:type="dxa"/>
          </w:tcPr>
          <w:p w:rsidR="00F305BB" w:rsidRPr="007B6C7D" w:rsidP="001745A4" w14:paraId="3A355EA9" w14:textId="77777777">
            <w:pPr>
              <w:rPr>
                <w:spacing w:val="20"/>
                <w:sz w:val="20"/>
                <w:szCs w:val="20"/>
              </w:rPr>
            </w:pPr>
            <w:r w:rsidRPr="007B6C7D">
              <w:rPr>
                <w:spacing w:val="20"/>
                <w:sz w:val="20"/>
                <w:szCs w:val="20"/>
              </w:rPr>
              <w:t>Názov pedagogického klubu:</w:t>
            </w:r>
          </w:p>
        </w:tc>
        <w:tc>
          <w:tcPr>
            <w:tcW w:w="5940" w:type="dxa"/>
          </w:tcPr>
          <w:p w:rsidR="00F305BB" w:rsidRPr="007B6C7D" w:rsidP="001745A4" w14:paraId="2C7D3C4F" w14:textId="77777777">
            <w:pPr>
              <w:rPr>
                <w:spacing w:val="20"/>
                <w:sz w:val="20"/>
                <w:szCs w:val="20"/>
              </w:rPr>
            </w:pPr>
            <w:r>
              <w:rPr>
                <w:spacing w:val="20"/>
                <w:sz w:val="20"/>
                <w:szCs w:val="20"/>
              </w:rPr>
              <w:t>GYMZAFIGA</w:t>
            </w:r>
          </w:p>
        </w:tc>
      </w:tr>
    </w:tbl>
    <w:p w:rsidR="00F305BB" w:rsidP="00D0796E" w14:paraId="4047A071" w14:textId="77777777"/>
    <w:p w:rsidR="00F305BB" w:rsidRPr="00A14C1A" w:rsidP="00A14C1A" w14:paraId="1860F7C6" w14:textId="2E2C85EE">
      <w:pPr>
        <w:pStyle w:val="Heading1"/>
        <w:jc w:val="center"/>
        <w:rPr>
          <w:sz w:val="24"/>
          <w:szCs w:val="24"/>
          <w:lang w:val="sk-SK"/>
        </w:rPr>
      </w:pPr>
      <w:r>
        <w:rPr>
          <w:sz w:val="24"/>
          <w:szCs w:val="24"/>
          <w:lang w:val="sk-SK"/>
        </w:rPr>
        <w:t>PREZENČNÁ LISTINA</w:t>
      </w:r>
    </w:p>
    <w:p w:rsidR="00A14C1A" w:rsidP="00D0796E" w14:paraId="2E580F23" w14:textId="77777777"/>
    <w:p w:rsidR="00F305BB" w:rsidRPr="00121E7B" w:rsidP="00D0796E" w14:paraId="5B0E1A2E" w14:textId="0875E829">
      <w:pPr>
        <w:rPr>
          <w:b/>
        </w:rPr>
      </w:pPr>
      <w:r>
        <w:t>Miesto konania stretnutia:</w:t>
      </w:r>
      <w:r w:rsidR="00121E7B">
        <w:t xml:space="preserve"> </w:t>
      </w:r>
      <w:r w:rsidRPr="00121E7B" w:rsidR="00121E7B">
        <w:rPr>
          <w:b/>
        </w:rPr>
        <w:t>H08</w:t>
      </w:r>
    </w:p>
    <w:p w:rsidR="00F305BB" w:rsidP="00D0796E" w14:paraId="470F39D7" w14:textId="0F331712">
      <w:r>
        <w:t>Dátum konania stretnutia:</w:t>
      </w:r>
      <w:r w:rsidR="00121E7B">
        <w:t xml:space="preserve"> </w:t>
      </w:r>
      <w:r w:rsidR="00E9150B">
        <w:rPr>
          <w:b/>
        </w:rPr>
        <w:t>30</w:t>
      </w:r>
      <w:r w:rsidR="00DD4269">
        <w:rPr>
          <w:b/>
        </w:rPr>
        <w:t>.</w:t>
      </w:r>
      <w:r w:rsidR="002E5FC9">
        <w:rPr>
          <w:b/>
        </w:rPr>
        <w:t>3</w:t>
      </w:r>
      <w:r w:rsidR="00204559">
        <w:rPr>
          <w:b/>
        </w:rPr>
        <w:t>.202</w:t>
      </w:r>
      <w:r w:rsidR="0031337F">
        <w:rPr>
          <w:b/>
        </w:rPr>
        <w:t>2</w:t>
      </w:r>
    </w:p>
    <w:p w:rsidR="00F305BB" w:rsidP="00D0796E" w14:paraId="3BE80F06" w14:textId="498BADBF">
      <w:r>
        <w:t xml:space="preserve">Trvanie stretnutia:  od </w:t>
      </w:r>
      <w:r w:rsidR="00BB0677">
        <w:rPr>
          <w:b/>
        </w:rPr>
        <w:t>16</w:t>
      </w:r>
      <w:r w:rsidRPr="00121E7B">
        <w:rPr>
          <w:b/>
        </w:rPr>
        <w:t>.00</w:t>
      </w:r>
      <w:r>
        <w:t xml:space="preserve"> hod</w:t>
      </w:r>
      <w:r w:rsidR="009E6B44">
        <w:t xml:space="preserve"> </w:t>
      </w:r>
      <w:r>
        <w:t xml:space="preserve">do </w:t>
      </w:r>
      <w:r w:rsidR="00D40B3D">
        <w:rPr>
          <w:b/>
        </w:rPr>
        <w:t>1</w:t>
      </w:r>
      <w:r w:rsidR="00BB0677">
        <w:rPr>
          <w:b/>
        </w:rPr>
        <w:t>9</w:t>
      </w:r>
      <w:r w:rsidRPr="00121E7B">
        <w:rPr>
          <w:b/>
        </w:rPr>
        <w:t>.00</w:t>
      </w:r>
      <w:r>
        <w:t xml:space="preserve"> </w:t>
      </w:r>
      <w:r>
        <w:t>hod</w:t>
      </w:r>
      <w:r>
        <w:tab/>
      </w:r>
    </w:p>
    <w:p w:rsidR="00F305BB" w:rsidP="00D0796E" w14:paraId="50952F7F" w14:textId="77777777">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14:paraId="30939408" w14:textId="77777777" w:rsidTr="0000510A">
        <w:tblPrEx>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7"/>
        </w:trPr>
        <w:tc>
          <w:tcPr>
            <w:tcW w:w="544" w:type="dxa"/>
          </w:tcPr>
          <w:p w:rsidR="0000510A" w:rsidRPr="007B6C7D" w:rsidP="001745A4" w14:paraId="064BFE92" w14:textId="77777777">
            <w:r w:rsidRPr="007B6C7D">
              <w:t>č.</w:t>
            </w:r>
          </w:p>
        </w:tc>
        <w:tc>
          <w:tcPr>
            <w:tcW w:w="3935" w:type="dxa"/>
          </w:tcPr>
          <w:p w:rsidR="0000510A" w:rsidRPr="007B6C7D" w:rsidP="001745A4" w14:paraId="2C71DBF1" w14:textId="77777777">
            <w:r w:rsidRPr="007B6C7D">
              <w:t>Meno a priezvisko</w:t>
            </w:r>
          </w:p>
        </w:tc>
        <w:tc>
          <w:tcPr>
            <w:tcW w:w="2427" w:type="dxa"/>
          </w:tcPr>
          <w:p w:rsidR="0000510A" w:rsidRPr="007B6C7D" w:rsidP="001745A4" w14:paraId="270F692B" w14:textId="77777777">
            <w:r w:rsidRPr="007B6C7D">
              <w:t>Podpis</w:t>
            </w:r>
          </w:p>
        </w:tc>
        <w:tc>
          <w:tcPr>
            <w:tcW w:w="2306" w:type="dxa"/>
          </w:tcPr>
          <w:p w:rsidR="0000510A" w:rsidRPr="007B6C7D" w:rsidP="001745A4" w14:paraId="15426E71" w14:textId="77777777">
            <w:r>
              <w:t>Inštitúcia</w:t>
            </w:r>
          </w:p>
        </w:tc>
      </w:tr>
      <w:tr w14:paraId="34CD9F9A" w14:textId="77777777" w:rsidTr="0000510A">
        <w:tblPrEx>
          <w:tblW w:w="9212" w:type="dxa"/>
          <w:tblCellMar>
            <w:left w:w="70" w:type="dxa"/>
            <w:right w:w="70" w:type="dxa"/>
          </w:tblCellMar>
          <w:tblLook w:val="0000"/>
        </w:tblPrEx>
        <w:trPr>
          <w:trHeight w:val="337"/>
        </w:trPr>
        <w:tc>
          <w:tcPr>
            <w:tcW w:w="544" w:type="dxa"/>
          </w:tcPr>
          <w:p w:rsidR="0000510A" w:rsidRPr="007B6C7D" w:rsidP="001745A4" w14:paraId="28A2CC7A" w14:textId="77777777">
            <w:r>
              <w:t xml:space="preserve">1. </w:t>
            </w:r>
          </w:p>
        </w:tc>
        <w:tc>
          <w:tcPr>
            <w:tcW w:w="3935" w:type="dxa"/>
          </w:tcPr>
          <w:p w:rsidR="0000510A" w:rsidRPr="007B6C7D" w:rsidP="001745A4" w14:paraId="088B286F" w14:textId="4E74FA9C">
            <w:r>
              <w:t>Mgr. Stanislav Ďurek, PhD.</w:t>
            </w:r>
          </w:p>
        </w:tc>
        <w:tc>
          <w:tcPr>
            <w:tcW w:w="2427" w:type="dxa"/>
          </w:tcPr>
          <w:p w:rsidR="0000510A" w:rsidRPr="007B6C7D" w:rsidP="001745A4" w14:paraId="5D9AE212" w14:textId="77777777"/>
        </w:tc>
        <w:tc>
          <w:tcPr>
            <w:tcW w:w="2306" w:type="dxa"/>
          </w:tcPr>
          <w:p w:rsidR="0000510A" w:rsidRPr="007B6C7D" w:rsidP="001745A4" w14:paraId="19DFABC7" w14:textId="77777777">
            <w:r>
              <w:t>Gymnázium, Hlinská 29 Žilina</w:t>
            </w:r>
          </w:p>
        </w:tc>
      </w:tr>
      <w:tr w14:paraId="441422D7"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4F709429" w14:textId="77777777">
            <w:r>
              <w:t xml:space="preserve">2. </w:t>
            </w:r>
          </w:p>
        </w:tc>
        <w:tc>
          <w:tcPr>
            <w:tcW w:w="3935" w:type="dxa"/>
          </w:tcPr>
          <w:p w:rsidR="00121E7B" w:rsidRPr="007B6C7D" w:rsidP="00993711" w14:paraId="2CF0D218" w14:textId="75C8BD73">
            <w:r>
              <w:t>PaedDr. Antónia Bartošová</w:t>
            </w:r>
          </w:p>
        </w:tc>
        <w:tc>
          <w:tcPr>
            <w:tcW w:w="2427" w:type="dxa"/>
          </w:tcPr>
          <w:p w:rsidR="00121E7B" w:rsidRPr="007B6C7D" w:rsidP="001745A4" w14:paraId="2DB8BD75" w14:textId="77777777"/>
        </w:tc>
        <w:tc>
          <w:tcPr>
            <w:tcW w:w="2306" w:type="dxa"/>
          </w:tcPr>
          <w:p w:rsidR="00121E7B" w:rsidRPr="007B6C7D" w:rsidP="001745A4" w14:paraId="23490A12" w14:textId="77777777">
            <w:r>
              <w:t>Gymnázium, Hlinská 29 Žilina</w:t>
            </w:r>
          </w:p>
        </w:tc>
      </w:tr>
      <w:tr w14:paraId="4F83E137"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538964D3" w14:textId="77777777">
            <w:r>
              <w:t xml:space="preserve">3. </w:t>
            </w:r>
          </w:p>
        </w:tc>
        <w:tc>
          <w:tcPr>
            <w:tcW w:w="3935" w:type="dxa"/>
          </w:tcPr>
          <w:p w:rsidR="00121E7B" w:rsidRPr="007B6C7D" w:rsidP="00993711" w14:paraId="58EDE0DF" w14:textId="182E6565">
            <w:r>
              <w:t>Mgr. Tatiana Hiková</w:t>
            </w:r>
          </w:p>
        </w:tc>
        <w:tc>
          <w:tcPr>
            <w:tcW w:w="2427" w:type="dxa"/>
          </w:tcPr>
          <w:p w:rsidR="00121E7B" w:rsidRPr="007B6C7D" w:rsidP="001745A4" w14:paraId="38D8AC45" w14:textId="77777777"/>
        </w:tc>
        <w:tc>
          <w:tcPr>
            <w:tcW w:w="2306" w:type="dxa"/>
          </w:tcPr>
          <w:p w:rsidR="00121E7B" w:rsidRPr="007B6C7D" w:rsidP="001745A4" w14:paraId="6B55A410" w14:textId="77777777">
            <w:r>
              <w:t>Gymnázium, Hlinská 29 Žilina</w:t>
            </w:r>
          </w:p>
        </w:tc>
      </w:tr>
      <w:tr w14:paraId="3CA4D8AD"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1163C7EF" w14:textId="77777777">
            <w:r>
              <w:t xml:space="preserve">4. </w:t>
            </w:r>
          </w:p>
        </w:tc>
        <w:tc>
          <w:tcPr>
            <w:tcW w:w="3935" w:type="dxa"/>
          </w:tcPr>
          <w:p w:rsidR="00121E7B" w:rsidRPr="007B6C7D" w:rsidP="001745A4" w14:paraId="3BF9E435" w14:textId="27371C13">
            <w:r>
              <w:t>Mgr. Helena Krajčovičová</w:t>
            </w:r>
          </w:p>
        </w:tc>
        <w:tc>
          <w:tcPr>
            <w:tcW w:w="2427" w:type="dxa"/>
          </w:tcPr>
          <w:p w:rsidR="00121E7B" w:rsidRPr="007B6C7D" w:rsidP="001745A4" w14:paraId="7CB48A8F" w14:textId="77777777"/>
        </w:tc>
        <w:tc>
          <w:tcPr>
            <w:tcW w:w="2306" w:type="dxa"/>
          </w:tcPr>
          <w:p w:rsidR="00121E7B" w:rsidRPr="007B6C7D" w:rsidP="001745A4" w14:paraId="353490D4" w14:textId="77777777">
            <w:r>
              <w:t>Gymnázium, Hlinská 29 Žilina</w:t>
            </w:r>
          </w:p>
        </w:tc>
      </w:tr>
    </w:tbl>
    <w:p w:rsidR="00A14C1A" w:rsidP="00297243" w14:paraId="195D5FAF" w14:textId="77777777">
      <w:pPr>
        <w:jc w:val="both"/>
      </w:pPr>
    </w:p>
    <w:p w:rsidR="00F305BB" w:rsidP="00297243" w14:paraId="73A89167" w14:textId="52441819">
      <w:pPr>
        <w:jc w:val="both"/>
      </w:pPr>
      <w:r>
        <w:t>Meno prizvaných odborníkov/iných účastníkov, ktorí nie</w:t>
      </w:r>
      <w:r w:rsidR="000A30EC">
        <w:t xml:space="preserve"> sú členmi pedagogického klubu </w:t>
      </w:r>
      <w:r>
        <w:t>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14:paraId="3FF87B92" w14:textId="77777777" w:rsidTr="0000510A">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7"/>
        </w:trPr>
        <w:tc>
          <w:tcPr>
            <w:tcW w:w="610" w:type="dxa"/>
          </w:tcPr>
          <w:p w:rsidR="0000510A" w:rsidRPr="007B6C7D" w:rsidP="00195BD6" w14:paraId="24DF1820" w14:textId="77777777">
            <w:r w:rsidRPr="007B6C7D">
              <w:t>č.</w:t>
            </w:r>
          </w:p>
        </w:tc>
        <w:tc>
          <w:tcPr>
            <w:tcW w:w="4680" w:type="dxa"/>
          </w:tcPr>
          <w:p w:rsidR="0000510A" w:rsidRPr="007B6C7D" w:rsidP="00195BD6" w14:paraId="1DAD5945" w14:textId="77777777">
            <w:r w:rsidRPr="007B6C7D">
              <w:t>Meno a priezvisko</w:t>
            </w:r>
          </w:p>
        </w:tc>
        <w:tc>
          <w:tcPr>
            <w:tcW w:w="1726" w:type="dxa"/>
          </w:tcPr>
          <w:p w:rsidR="0000510A" w:rsidRPr="007B6C7D" w:rsidP="00195BD6" w14:paraId="1E467726" w14:textId="77777777">
            <w:r w:rsidRPr="007B6C7D">
              <w:t>Podpis</w:t>
            </w:r>
          </w:p>
        </w:tc>
        <w:tc>
          <w:tcPr>
            <w:tcW w:w="1985" w:type="dxa"/>
          </w:tcPr>
          <w:p w:rsidR="0000510A" w:rsidRPr="007B6C7D" w:rsidP="00195BD6" w14:paraId="1055A06F" w14:textId="77777777">
            <w:r>
              <w:t>Inštitúcia</w:t>
            </w:r>
          </w:p>
        </w:tc>
      </w:tr>
      <w:tr w14:paraId="71FBAF95" w14:textId="77777777" w:rsidTr="0000510A">
        <w:tblPrEx>
          <w:tblW w:w="9001" w:type="dxa"/>
          <w:tblCellMar>
            <w:left w:w="70" w:type="dxa"/>
            <w:right w:w="70" w:type="dxa"/>
          </w:tblCellMar>
          <w:tblLook w:val="0000"/>
        </w:tblPrEx>
        <w:trPr>
          <w:trHeight w:val="337"/>
        </w:trPr>
        <w:tc>
          <w:tcPr>
            <w:tcW w:w="610" w:type="dxa"/>
          </w:tcPr>
          <w:p w:rsidR="0000510A" w:rsidRPr="007B6C7D" w:rsidP="00195BD6" w14:paraId="3AA96130" w14:textId="77777777">
            <w:r>
              <w:t>1.</w:t>
            </w:r>
          </w:p>
        </w:tc>
        <w:tc>
          <w:tcPr>
            <w:tcW w:w="4680" w:type="dxa"/>
          </w:tcPr>
          <w:p w:rsidR="0000510A" w:rsidRPr="007B6C7D" w:rsidP="007A2081" w14:paraId="0F023D6A" w14:textId="77777777"/>
        </w:tc>
        <w:tc>
          <w:tcPr>
            <w:tcW w:w="1726" w:type="dxa"/>
          </w:tcPr>
          <w:p w:rsidR="0000510A" w:rsidRPr="007B6C7D" w:rsidP="00195BD6" w14:paraId="63FAD037" w14:textId="77777777"/>
        </w:tc>
        <w:tc>
          <w:tcPr>
            <w:tcW w:w="1985" w:type="dxa"/>
          </w:tcPr>
          <w:p w:rsidR="0000510A" w:rsidRPr="007B6C7D" w:rsidP="00195BD6" w14:paraId="2812BD7A" w14:textId="77777777"/>
        </w:tc>
      </w:tr>
    </w:tbl>
    <w:p w:rsidR="00F305BB" w:rsidRPr="001C586E" w:rsidP="001C586E" w14:paraId="72D07D72" w14:textId="77777777">
      <w:pPr>
        <w:tabs>
          <w:tab w:val="left" w:pos="1114"/>
        </w:tabs>
        <w:rPr>
          <w:rFonts w:ascii="Times New Roman" w:hAnsi="Times New Roman"/>
        </w:rPr>
      </w:pPr>
    </w:p>
    <w:sectPr w:rsidSect="00A14C1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D77B6"/>
    <w:multiLevelType w:val="hybridMultilevel"/>
    <w:tmpl w:val="A6E88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5647F"/>
    <w:multiLevelType w:val="hybridMultilevel"/>
    <w:tmpl w:val="69EE5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7F5709"/>
    <w:multiLevelType w:val="hybridMultilevel"/>
    <w:tmpl w:val="8CAE66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27596C"/>
    <w:multiLevelType w:val="hybridMultilevel"/>
    <w:tmpl w:val="A0B6D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85516D"/>
    <w:multiLevelType w:val="multilevel"/>
    <w:tmpl w:val="440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91FE5"/>
    <w:multiLevelType w:val="hybridMultilevel"/>
    <w:tmpl w:val="B8A8B040"/>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06D8"/>
    <w:rsid w:val="0000192E"/>
    <w:rsid w:val="00001C10"/>
    <w:rsid w:val="0000510A"/>
    <w:rsid w:val="00027A00"/>
    <w:rsid w:val="0003707B"/>
    <w:rsid w:val="00053B89"/>
    <w:rsid w:val="000809AA"/>
    <w:rsid w:val="000A30EC"/>
    <w:rsid w:val="000E6FBF"/>
    <w:rsid w:val="000F127B"/>
    <w:rsid w:val="000F4194"/>
    <w:rsid w:val="00110E2A"/>
    <w:rsid w:val="00121E7B"/>
    <w:rsid w:val="00137050"/>
    <w:rsid w:val="00151F6C"/>
    <w:rsid w:val="001544C0"/>
    <w:rsid w:val="001620FF"/>
    <w:rsid w:val="00162524"/>
    <w:rsid w:val="00166187"/>
    <w:rsid w:val="00171E19"/>
    <w:rsid w:val="001745A4"/>
    <w:rsid w:val="001777D0"/>
    <w:rsid w:val="00177FC3"/>
    <w:rsid w:val="00195BD6"/>
    <w:rsid w:val="001A4128"/>
    <w:rsid w:val="001A5EA2"/>
    <w:rsid w:val="001A5FB5"/>
    <w:rsid w:val="001B07BD"/>
    <w:rsid w:val="001B69AF"/>
    <w:rsid w:val="001C19D1"/>
    <w:rsid w:val="001C586E"/>
    <w:rsid w:val="001D498E"/>
    <w:rsid w:val="001E068F"/>
    <w:rsid w:val="001E1A21"/>
    <w:rsid w:val="00203036"/>
    <w:rsid w:val="00204559"/>
    <w:rsid w:val="00204902"/>
    <w:rsid w:val="0020717F"/>
    <w:rsid w:val="00225CD9"/>
    <w:rsid w:val="00267235"/>
    <w:rsid w:val="0027087C"/>
    <w:rsid w:val="0027195A"/>
    <w:rsid w:val="00274174"/>
    <w:rsid w:val="002941FE"/>
    <w:rsid w:val="00297243"/>
    <w:rsid w:val="002A4890"/>
    <w:rsid w:val="002A6E99"/>
    <w:rsid w:val="002B41EF"/>
    <w:rsid w:val="002C28B6"/>
    <w:rsid w:val="002D7F9B"/>
    <w:rsid w:val="002D7FC6"/>
    <w:rsid w:val="002E3894"/>
    <w:rsid w:val="002E3F1A"/>
    <w:rsid w:val="002E5FC9"/>
    <w:rsid w:val="0031337F"/>
    <w:rsid w:val="00321C89"/>
    <w:rsid w:val="003304A9"/>
    <w:rsid w:val="0034733D"/>
    <w:rsid w:val="003700F7"/>
    <w:rsid w:val="00374F0C"/>
    <w:rsid w:val="003876CE"/>
    <w:rsid w:val="00390E1A"/>
    <w:rsid w:val="00390FFC"/>
    <w:rsid w:val="003D44CF"/>
    <w:rsid w:val="003E1A92"/>
    <w:rsid w:val="003F10E0"/>
    <w:rsid w:val="004108EF"/>
    <w:rsid w:val="00423CC3"/>
    <w:rsid w:val="00433D85"/>
    <w:rsid w:val="00446402"/>
    <w:rsid w:val="00452814"/>
    <w:rsid w:val="004631AB"/>
    <w:rsid w:val="004672B8"/>
    <w:rsid w:val="00495660"/>
    <w:rsid w:val="00497A5D"/>
    <w:rsid w:val="004C05D7"/>
    <w:rsid w:val="004C3D46"/>
    <w:rsid w:val="004D0A96"/>
    <w:rsid w:val="004D3EE8"/>
    <w:rsid w:val="004E14E1"/>
    <w:rsid w:val="004F368A"/>
    <w:rsid w:val="0050656D"/>
    <w:rsid w:val="00507481"/>
    <w:rsid w:val="00507CF5"/>
    <w:rsid w:val="005154C2"/>
    <w:rsid w:val="005255F2"/>
    <w:rsid w:val="00526F01"/>
    <w:rsid w:val="0053326D"/>
    <w:rsid w:val="005361EC"/>
    <w:rsid w:val="00541786"/>
    <w:rsid w:val="0055263C"/>
    <w:rsid w:val="005538B4"/>
    <w:rsid w:val="00557445"/>
    <w:rsid w:val="005575A0"/>
    <w:rsid w:val="00583AF0"/>
    <w:rsid w:val="0058712F"/>
    <w:rsid w:val="00592E27"/>
    <w:rsid w:val="005A6536"/>
    <w:rsid w:val="005A6AAC"/>
    <w:rsid w:val="005A7883"/>
    <w:rsid w:val="005C05F0"/>
    <w:rsid w:val="005D1EE8"/>
    <w:rsid w:val="005D3C9F"/>
    <w:rsid w:val="005F2F5E"/>
    <w:rsid w:val="00636BE2"/>
    <w:rsid w:val="006377DA"/>
    <w:rsid w:val="00654780"/>
    <w:rsid w:val="006723FA"/>
    <w:rsid w:val="006A3977"/>
    <w:rsid w:val="006B6CBE"/>
    <w:rsid w:val="006E77C5"/>
    <w:rsid w:val="00731428"/>
    <w:rsid w:val="00750B44"/>
    <w:rsid w:val="007561FB"/>
    <w:rsid w:val="00766F80"/>
    <w:rsid w:val="007A2081"/>
    <w:rsid w:val="007A30C5"/>
    <w:rsid w:val="007A5170"/>
    <w:rsid w:val="007A6CFA"/>
    <w:rsid w:val="007B0F66"/>
    <w:rsid w:val="007B6C7D"/>
    <w:rsid w:val="007C2B16"/>
    <w:rsid w:val="008058B8"/>
    <w:rsid w:val="00863614"/>
    <w:rsid w:val="008721DB"/>
    <w:rsid w:val="00875C59"/>
    <w:rsid w:val="008C3B1D"/>
    <w:rsid w:val="008C3C41"/>
    <w:rsid w:val="008D5D08"/>
    <w:rsid w:val="008D61A6"/>
    <w:rsid w:val="008E42F3"/>
    <w:rsid w:val="008F68B0"/>
    <w:rsid w:val="0091100F"/>
    <w:rsid w:val="009417E6"/>
    <w:rsid w:val="00961143"/>
    <w:rsid w:val="00965936"/>
    <w:rsid w:val="009817F2"/>
    <w:rsid w:val="0098692D"/>
    <w:rsid w:val="00993711"/>
    <w:rsid w:val="009978E3"/>
    <w:rsid w:val="009C3018"/>
    <w:rsid w:val="009C47DD"/>
    <w:rsid w:val="009D0B72"/>
    <w:rsid w:val="009E6B44"/>
    <w:rsid w:val="009F4F76"/>
    <w:rsid w:val="00A011FD"/>
    <w:rsid w:val="00A01FC2"/>
    <w:rsid w:val="00A14C1A"/>
    <w:rsid w:val="00A474BA"/>
    <w:rsid w:val="00A47DB9"/>
    <w:rsid w:val="00A54F5C"/>
    <w:rsid w:val="00A71E3A"/>
    <w:rsid w:val="00A81A71"/>
    <w:rsid w:val="00A826B0"/>
    <w:rsid w:val="00A9043F"/>
    <w:rsid w:val="00A93FAE"/>
    <w:rsid w:val="00A95E37"/>
    <w:rsid w:val="00AA01F3"/>
    <w:rsid w:val="00AB0D28"/>
    <w:rsid w:val="00AB111C"/>
    <w:rsid w:val="00AB6AF1"/>
    <w:rsid w:val="00AB7989"/>
    <w:rsid w:val="00AC3BDB"/>
    <w:rsid w:val="00AC7B1A"/>
    <w:rsid w:val="00AD0F25"/>
    <w:rsid w:val="00AD4974"/>
    <w:rsid w:val="00AF55EF"/>
    <w:rsid w:val="00AF5989"/>
    <w:rsid w:val="00B058E9"/>
    <w:rsid w:val="00B15935"/>
    <w:rsid w:val="00B37B85"/>
    <w:rsid w:val="00B440DB"/>
    <w:rsid w:val="00B45405"/>
    <w:rsid w:val="00B45F59"/>
    <w:rsid w:val="00B5326A"/>
    <w:rsid w:val="00B5366B"/>
    <w:rsid w:val="00B57437"/>
    <w:rsid w:val="00B633DE"/>
    <w:rsid w:val="00B71530"/>
    <w:rsid w:val="00B76EAE"/>
    <w:rsid w:val="00BB0677"/>
    <w:rsid w:val="00BB5601"/>
    <w:rsid w:val="00BD60E8"/>
    <w:rsid w:val="00BD741A"/>
    <w:rsid w:val="00BF2F35"/>
    <w:rsid w:val="00BF4683"/>
    <w:rsid w:val="00BF4792"/>
    <w:rsid w:val="00C01FB2"/>
    <w:rsid w:val="00C065E1"/>
    <w:rsid w:val="00C076C2"/>
    <w:rsid w:val="00C665D2"/>
    <w:rsid w:val="00C71E7D"/>
    <w:rsid w:val="00C73040"/>
    <w:rsid w:val="00C73CDD"/>
    <w:rsid w:val="00C87378"/>
    <w:rsid w:val="00CA0B4D"/>
    <w:rsid w:val="00CA771E"/>
    <w:rsid w:val="00CB4288"/>
    <w:rsid w:val="00CC76D6"/>
    <w:rsid w:val="00CD6F7B"/>
    <w:rsid w:val="00CD7D64"/>
    <w:rsid w:val="00CF35D8"/>
    <w:rsid w:val="00CF4642"/>
    <w:rsid w:val="00D0796E"/>
    <w:rsid w:val="00D140E3"/>
    <w:rsid w:val="00D357AF"/>
    <w:rsid w:val="00D40050"/>
    <w:rsid w:val="00D40B3D"/>
    <w:rsid w:val="00D55DA4"/>
    <w:rsid w:val="00D5619C"/>
    <w:rsid w:val="00D57DD7"/>
    <w:rsid w:val="00D77310"/>
    <w:rsid w:val="00D94D4C"/>
    <w:rsid w:val="00DA6ABC"/>
    <w:rsid w:val="00DB23FA"/>
    <w:rsid w:val="00DD1AA4"/>
    <w:rsid w:val="00DD4269"/>
    <w:rsid w:val="00DD5AC8"/>
    <w:rsid w:val="00DE0435"/>
    <w:rsid w:val="00DF1627"/>
    <w:rsid w:val="00E019A0"/>
    <w:rsid w:val="00E11279"/>
    <w:rsid w:val="00E25C30"/>
    <w:rsid w:val="00E36C97"/>
    <w:rsid w:val="00E376F0"/>
    <w:rsid w:val="00E42429"/>
    <w:rsid w:val="00E52878"/>
    <w:rsid w:val="00E646EC"/>
    <w:rsid w:val="00E8750E"/>
    <w:rsid w:val="00E9150B"/>
    <w:rsid w:val="00E926D8"/>
    <w:rsid w:val="00EB2729"/>
    <w:rsid w:val="00EC5730"/>
    <w:rsid w:val="00ED50F9"/>
    <w:rsid w:val="00ED546D"/>
    <w:rsid w:val="00F14AD7"/>
    <w:rsid w:val="00F2218E"/>
    <w:rsid w:val="00F305BB"/>
    <w:rsid w:val="00F34969"/>
    <w:rsid w:val="00F36E61"/>
    <w:rsid w:val="00F61779"/>
    <w:rsid w:val="00FD3420"/>
    <w:rsid w:val="00FE050F"/>
    <w:rsid w:val="00FF4E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A3AE864"/>
  <w15:docId w15:val="{48D8B22B-BBD0-4989-B2CF-40BC206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Heading3">
    <w:name w:val="heading 3"/>
    <w:basedOn w:val="Normal"/>
    <w:next w:val="Normal"/>
    <w:link w:val="Nadpis3Char"/>
    <w:semiHidden/>
    <w:unhideWhenUsed/>
    <w:qFormat/>
    <w:locked/>
    <w:rsid w:val="00A01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Nadpis5Char"/>
    <w:semiHidden/>
    <w:unhideWhenUsed/>
    <w:qFormat/>
    <w:locked/>
    <w:rsid w:val="0027195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Nadpis6Char"/>
    <w:semiHidden/>
    <w:unhideWhenUsed/>
    <w:qFormat/>
    <w:locked/>
    <w:rsid w:val="00ED546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34"/>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TextkomentraChar"/>
    <w:uiPriority w:val="99"/>
    <w:semiHidden/>
    <w:rsid w:val="00AF5989"/>
    <w:pPr>
      <w:spacing w:line="240" w:lineRule="auto"/>
    </w:pPr>
    <w:rPr>
      <w:sz w:val="20"/>
      <w:szCs w:val="20"/>
    </w:rPr>
  </w:style>
  <w:style w:type="character" w:customStyle="1" w:styleId="TextkomentraChar">
    <w:name w:val="Text komentára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PredmetkomentraChar"/>
    <w:uiPriority w:val="99"/>
    <w:semiHidden/>
    <w:rsid w:val="00AF5989"/>
    <w:rPr>
      <w:b/>
      <w:bCs/>
    </w:rPr>
  </w:style>
  <w:style w:type="character" w:customStyle="1" w:styleId="PredmetkomentraChar">
    <w:name w:val="Predmet komentára Char"/>
    <w:link w:val="CommentSubject"/>
    <w:uiPriority w:val="99"/>
    <w:semiHidden/>
    <w:locked/>
    <w:rsid w:val="00AF5989"/>
    <w:rPr>
      <w:rFonts w:cs="Times New Roman"/>
      <w:b/>
      <w:bCs/>
      <w:sz w:val="20"/>
      <w:szCs w:val="20"/>
    </w:rPr>
  </w:style>
  <w:style w:type="paragraph" w:styleId="NoSpacing">
    <w:name w:val="No Spacing"/>
    <w:uiPriority w:val="1"/>
    <w:qFormat/>
    <w:rsid w:val="00A93FAE"/>
    <w:rPr>
      <w:sz w:val="22"/>
      <w:szCs w:val="22"/>
      <w:lang w:eastAsia="en-US"/>
    </w:rPr>
  </w:style>
  <w:style w:type="character" w:customStyle="1" w:styleId="Nadpis6Char">
    <w:name w:val="Nadpis 6 Char"/>
    <w:basedOn w:val="DefaultParagraphFont"/>
    <w:link w:val="Heading6"/>
    <w:semiHidden/>
    <w:rsid w:val="00ED546D"/>
    <w:rPr>
      <w:rFonts w:asciiTheme="majorHAnsi" w:eastAsiaTheme="majorEastAsia" w:hAnsiTheme="majorHAnsi" w:cstheme="majorBidi"/>
      <w:color w:val="243F60" w:themeColor="accent1" w:themeShade="7F"/>
      <w:sz w:val="22"/>
      <w:szCs w:val="22"/>
      <w:lang w:eastAsia="en-US"/>
    </w:rPr>
  </w:style>
  <w:style w:type="character" w:customStyle="1" w:styleId="Nadpis5Char">
    <w:name w:val="Nadpis 5 Char"/>
    <w:basedOn w:val="DefaultParagraphFont"/>
    <w:link w:val="Heading5"/>
    <w:semiHidden/>
    <w:rsid w:val="0027195A"/>
    <w:rPr>
      <w:rFonts w:asciiTheme="majorHAnsi" w:eastAsiaTheme="majorEastAsia" w:hAnsiTheme="majorHAnsi" w:cstheme="majorBidi"/>
      <w:color w:val="365F91" w:themeColor="accent1" w:themeShade="BF"/>
      <w:sz w:val="22"/>
      <w:szCs w:val="22"/>
      <w:lang w:eastAsia="en-US"/>
    </w:rPr>
  </w:style>
  <w:style w:type="character" w:styleId="Hyperlink">
    <w:name w:val="Hyperlink"/>
    <w:basedOn w:val="DefaultParagraphFont"/>
    <w:uiPriority w:val="99"/>
    <w:unhideWhenUsed/>
    <w:rsid w:val="00A011FD"/>
    <w:rPr>
      <w:color w:val="0000FF" w:themeColor="hyperlink"/>
      <w:u w:val="single"/>
    </w:rPr>
  </w:style>
  <w:style w:type="character" w:customStyle="1" w:styleId="Nadpis3Char">
    <w:name w:val="Nadpis 3 Char"/>
    <w:basedOn w:val="DefaultParagraphFont"/>
    <w:link w:val="Heading3"/>
    <w:semiHidden/>
    <w:rsid w:val="00A011FD"/>
    <w:rPr>
      <w:rFonts w:asciiTheme="majorHAnsi" w:eastAsiaTheme="majorEastAsia" w:hAnsiTheme="majorHAnsi" w:cstheme="majorBidi"/>
      <w:color w:val="243F60" w:themeColor="accent1" w:themeShade="7F"/>
      <w:sz w:val="24"/>
      <w:szCs w:val="24"/>
      <w:lang w:eastAsia="en-US"/>
    </w:rPr>
  </w:style>
  <w:style w:type="paragraph" w:customStyle="1" w:styleId="text-justify">
    <w:name w:val="text-justify"/>
    <w:basedOn w:val="Normal"/>
    <w:rsid w:val="00A011FD"/>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22"/>
    <w:qFormat/>
    <w:locked/>
    <w:rsid w:val="00A54F5C"/>
    <w:rPr>
      <w:b/>
      <w:bCs/>
    </w:rPr>
  </w:style>
  <w:style w:type="character" w:styleId="UnresolvedMention">
    <w:name w:val="Unresolved Mention"/>
    <w:basedOn w:val="DefaultParagraphFont"/>
    <w:uiPriority w:val="99"/>
    <w:semiHidden/>
    <w:unhideWhenUsed/>
    <w:rsid w:val="0046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statpedu.sk/files/sk/metodicky-portal/metodicke-podnety/nsfg_1_2.pdf" TargetMode="External" /><Relationship Id="rId7" Type="http://schemas.openxmlformats.org/officeDocument/2006/relationships/hyperlink" Target="https://www.statpedu.sk/files/sk/metodicky-portal/metodicke-podnety/fg_metodika_0109201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761B-E818-4120-AA34-BDC1271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1949</Words>
  <Characters>12964</Characters>
  <Application>Microsoft Office Word</Application>
  <DocSecurity>0</DocSecurity>
  <Lines>108</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Stanislav Ďurek</cp:lastModifiedBy>
  <cp:revision>8</cp:revision>
  <cp:lastPrinted>2022-02-03T09:07:00Z</cp:lastPrinted>
  <dcterms:created xsi:type="dcterms:W3CDTF">2022-03-21T14:02:00Z</dcterms:created>
  <dcterms:modified xsi:type="dcterms:W3CDTF">2022-04-04T08:18:00Z</dcterms:modified>
</cp:coreProperties>
</file>