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9C5" w14:textId="5FF05C94" w:rsidR="00F305BB" w:rsidRPr="00A14C1A" w:rsidRDefault="00121E7B" w:rsidP="00A14C1A">
      <w:r>
        <w:rPr>
          <w:noProof/>
          <w:lang w:eastAsia="sk-SK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52EF0F13" w:rsidR="00F14AD7" w:rsidRPr="001E068F" w:rsidRDefault="0031337F" w:rsidP="00993711">
            <w:pPr>
              <w:tabs>
                <w:tab w:val="left" w:pos="4007"/>
              </w:tabs>
              <w:spacing w:after="0" w:line="240" w:lineRule="auto"/>
            </w:pPr>
            <w:r>
              <w:t>31</w:t>
            </w:r>
            <w:r w:rsidR="00204559">
              <w:t>.</w:t>
            </w:r>
            <w:r>
              <w:t>1</w:t>
            </w:r>
            <w:r w:rsidR="00204559">
              <w:t>.202</w:t>
            </w:r>
            <w:r>
              <w:t>2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1904BFD6" w14:textId="27FA0989" w:rsidR="0053326D" w:rsidRPr="00BB0677" w:rsidRDefault="00F305BB" w:rsidP="0053326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6481E6FB" w:rsidR="0053326D" w:rsidRPr="0053326D" w:rsidRDefault="00374F0C" w:rsidP="009659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="00F14AD7" w:rsidRPr="0053326D">
              <w:rPr>
                <w:rFonts w:ascii="Times New Roman" w:hAnsi="Times New Roman"/>
              </w:rPr>
              <w:t xml:space="preserve">inančná gramotnosť, </w:t>
            </w:r>
            <w:r w:rsidR="00965936">
              <w:rPr>
                <w:rFonts w:ascii="Times New Roman" w:hAnsi="Times New Roman"/>
              </w:rPr>
              <w:t>pedagogický klub,</w:t>
            </w:r>
            <w:r w:rsidR="00C71E7D">
              <w:rPr>
                <w:rFonts w:ascii="Times New Roman" w:hAnsi="Times New Roman"/>
              </w:rPr>
              <w:t xml:space="preserve"> </w:t>
            </w:r>
            <w:r w:rsidR="00204902">
              <w:rPr>
                <w:rFonts w:ascii="Times New Roman" w:hAnsi="Times New Roman"/>
              </w:rPr>
              <w:t>členovia, hodnotenie, pozitíva, negatíva, odporúčania.</w:t>
            </w:r>
          </w:p>
        </w:tc>
      </w:tr>
      <w:tr w:rsidR="00F305BB" w:rsidRPr="007B6C7D" w14:paraId="4B8FFB7A" w14:textId="77777777" w:rsidTr="00A826B0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05DDE391" w:rsidR="00F305BB" w:rsidRPr="00D77310" w:rsidRDefault="00F305BB" w:rsidP="00D773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77310">
              <w:rPr>
                <w:rFonts w:ascii="Times New Roman" w:hAnsi="Times New Roman"/>
                <w:b/>
                <w:bCs/>
              </w:rPr>
              <w:t xml:space="preserve">Hlavné body, témy stretnutia, zhrnutie priebehu stretnutia: </w:t>
            </w:r>
          </w:p>
          <w:p w14:paraId="11347645" w14:textId="77777777" w:rsidR="00F305BB" w:rsidRPr="00A93FAE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2F39C439" w14:textId="77C6B975" w:rsidR="009978E3" w:rsidRDefault="00A93FAE" w:rsidP="00B5366B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A)</w:t>
            </w:r>
            <w:r w:rsidR="009C47DD" w:rsidRPr="00A93FAE">
              <w:rPr>
                <w:rFonts w:ascii="Times New Roman" w:hAnsi="Times New Roman"/>
              </w:rPr>
              <w:t xml:space="preserve"> </w:t>
            </w:r>
            <w:r w:rsidR="00E42429">
              <w:rPr>
                <w:rFonts w:ascii="Times New Roman" w:hAnsi="Times New Roman"/>
              </w:rPr>
              <w:t>Zhodnotenie práce pedagogického klubu finančnej gramotnosti.</w:t>
            </w:r>
          </w:p>
          <w:p w14:paraId="119A8BA9" w14:textId="77777777" w:rsidR="00E42429" w:rsidRDefault="00E42429" w:rsidP="00E4242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7C90FD" w14:textId="31190E70" w:rsidR="00E42429" w:rsidRDefault="00E42429" w:rsidP="00E4242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Prácu pedagogického klubu možno hodnotiť ako pozitívnu. </w:t>
            </w:r>
            <w:r w:rsidR="00B37B85">
              <w:rPr>
                <w:rFonts w:ascii="Times New Roman" w:hAnsi="Times New Roman"/>
              </w:rPr>
              <w:t>V prvom polroku sa finančná gramotnosť na škole nevyučuje, hodnotenie činnosti sa tak obmedzuje na prácu členov v rámci stretnutí klubov, poprípade aplikovanie finančnej gramotnosti ako prierezovej témy na hodinách matematiky, či občianskej náuky.</w:t>
            </w:r>
            <w:r w:rsidR="00433D85">
              <w:rPr>
                <w:rFonts w:ascii="Times New Roman" w:hAnsi="Times New Roman"/>
              </w:rPr>
              <w:t xml:space="preserve"> Treba pripomenúť, že fungovanie klubu a aktivít, ktoré s ním súvisia, boli aj v tomto polroku silne zasiahnuté pandémiou COVID 19.</w:t>
            </w:r>
          </w:p>
          <w:p w14:paraId="7223FAC9" w14:textId="6958D858" w:rsidR="00B37B85" w:rsidRDefault="00B37B85" w:rsidP="00E4242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1AD27C" w14:textId="33E3CC17" w:rsidR="00177FC3" w:rsidRDefault="00B37B85" w:rsidP="00E4242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Dochádzka členov pedagogického klubu finančnej gramotnosti:</w:t>
            </w:r>
          </w:p>
          <w:p w14:paraId="45196665" w14:textId="77777777" w:rsidR="00177FC3" w:rsidRDefault="00177FC3" w:rsidP="00E4242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953C00" w14:textId="2765D7B1" w:rsidR="00B37B85" w:rsidRDefault="00B37B85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Čo sa týka dochádzky, možno hovoriť o poctivosti a zodpovednosti členov. Ak aj sa nejaká</w:t>
            </w:r>
            <w:r w:rsidR="007561FB">
              <w:rPr>
                <w:rFonts w:ascii="Times New Roman" w:hAnsi="Times New Roman"/>
              </w:rPr>
              <w:t xml:space="preserve"> absencia </w:t>
            </w:r>
            <w:r>
              <w:rPr>
                <w:rFonts w:ascii="Times New Roman" w:hAnsi="Times New Roman"/>
              </w:rPr>
              <w:t>vyskytla, bola riadne ospravedlnená a dôvody možno považovať za relevantné.</w:t>
            </w:r>
            <w:r w:rsidR="00433D85">
              <w:rPr>
                <w:rFonts w:ascii="Times New Roman" w:hAnsi="Times New Roman"/>
              </w:rPr>
              <w:t xml:space="preserve"> </w:t>
            </w:r>
          </w:p>
          <w:p w14:paraId="59EC78A5" w14:textId="5FDD49AD" w:rsidR="00B37B85" w:rsidRDefault="00B37B85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322338" w14:textId="7A7A1AF0" w:rsidR="00177FC3" w:rsidRDefault="00B37B85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Priebeh stretnutí členov pedagogického klubu finančnej gramotnosti:</w:t>
            </w:r>
          </w:p>
          <w:p w14:paraId="396858C2" w14:textId="77777777" w:rsidR="00177FC3" w:rsidRDefault="00177FC3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8EF5CA" w14:textId="629213B2" w:rsidR="00B37B85" w:rsidRDefault="00B37B85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Jednotlivé stretnutia boli riadne naplánované a pripravené. Priebeh stretnutí sa niesol v pracovnej atmosfére, nebola núdza o kreativitu a nápady. Členovia klubu  na sebe pracovali </w:t>
            </w:r>
            <w:r w:rsidR="007561FB">
              <w:rPr>
                <w:rFonts w:ascii="Times New Roman" w:hAnsi="Times New Roman"/>
              </w:rPr>
              <w:t xml:space="preserve">nielen </w:t>
            </w:r>
            <w:r>
              <w:rPr>
                <w:rFonts w:ascii="Times New Roman" w:hAnsi="Times New Roman"/>
              </w:rPr>
              <w:t xml:space="preserve">v oblasti teoretického zvládnutia tém finančnej gramotnosti, ale </w:t>
            </w:r>
            <w:r w:rsidR="007561FB">
              <w:rPr>
                <w:rFonts w:ascii="Times New Roman" w:hAnsi="Times New Roman"/>
              </w:rPr>
              <w:t xml:space="preserve">aj </w:t>
            </w:r>
            <w:r>
              <w:rPr>
                <w:rFonts w:ascii="Times New Roman" w:hAnsi="Times New Roman"/>
              </w:rPr>
              <w:t xml:space="preserve">v oblasti metodiky výuky. Obsahom stretnutí </w:t>
            </w:r>
            <w:r w:rsidR="007561FB">
              <w:rPr>
                <w:rFonts w:ascii="Times New Roman" w:hAnsi="Times New Roman"/>
              </w:rPr>
              <w:t>teda nebolo len nadobúdanie</w:t>
            </w:r>
            <w:r>
              <w:rPr>
                <w:rFonts w:ascii="Times New Roman" w:hAnsi="Times New Roman"/>
              </w:rPr>
              <w:t xml:space="preserve"> teoretick</w:t>
            </w:r>
            <w:r w:rsidR="007561FB">
              <w:rPr>
                <w:rFonts w:ascii="Times New Roman" w:hAnsi="Times New Roman"/>
              </w:rPr>
              <w:t>ých</w:t>
            </w:r>
            <w:r>
              <w:rPr>
                <w:rFonts w:ascii="Times New Roman" w:hAnsi="Times New Roman"/>
              </w:rPr>
              <w:t xml:space="preserve"> poznatk</w:t>
            </w:r>
            <w:r w:rsidR="007561FB">
              <w:rPr>
                <w:rFonts w:ascii="Times New Roman" w:hAnsi="Times New Roman"/>
              </w:rPr>
              <w:t>ov</w:t>
            </w:r>
            <w:r>
              <w:rPr>
                <w:rFonts w:ascii="Times New Roman" w:hAnsi="Times New Roman"/>
              </w:rPr>
              <w:t xml:space="preserve">, </w:t>
            </w:r>
            <w:r w:rsidR="007561FB">
              <w:rPr>
                <w:rFonts w:ascii="Times New Roman" w:hAnsi="Times New Roman"/>
              </w:rPr>
              <w:t xml:space="preserve">ale najmä </w:t>
            </w:r>
            <w:r>
              <w:rPr>
                <w:rFonts w:ascii="Times New Roman" w:hAnsi="Times New Roman"/>
              </w:rPr>
              <w:t>prenesen</w:t>
            </w:r>
            <w:r w:rsidR="007561FB">
              <w:rPr>
                <w:rFonts w:ascii="Times New Roman" w:hAnsi="Times New Roman"/>
              </w:rPr>
              <w:t>ie</w:t>
            </w:r>
            <w:r>
              <w:rPr>
                <w:rFonts w:ascii="Times New Roman" w:hAnsi="Times New Roman"/>
              </w:rPr>
              <w:t xml:space="preserve"> teórie</w:t>
            </w:r>
            <w:r w:rsidR="00433D85">
              <w:rPr>
                <w:rFonts w:ascii="Times New Roman" w:hAnsi="Times New Roman"/>
              </w:rPr>
              <w:t xml:space="preserve"> do praxe. Členovia pedagogického klubu diskutovali, vytvárali a prakticky precvičovali.</w:t>
            </w:r>
          </w:p>
          <w:p w14:paraId="5DB3F6CC" w14:textId="5C0FD423" w:rsidR="00433D85" w:rsidRDefault="00433D85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511EFC" w14:textId="7321CFC8" w:rsidR="00177FC3" w:rsidRDefault="00433D85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Reakcie členov na fungovanie pedagogického klubu finančnej gramotnosti:</w:t>
            </w:r>
          </w:p>
          <w:p w14:paraId="732D2C88" w14:textId="77777777" w:rsidR="00177FC3" w:rsidRDefault="00177FC3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4A2F5C" w14:textId="3D34E94A" w:rsidR="00433D85" w:rsidRPr="00B37B85" w:rsidRDefault="00433D85" w:rsidP="00B37B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Väčšina členov pedagogického klubu finančnej gramotnosti hodnotí fungovanie klubu pozitívne. Mnohé sa dozvedeli, mnohé si precvičili. Najväčšou devízou pre nich je, že získali cenné zdroje metodiky</w:t>
            </w:r>
            <w:r w:rsidR="007561F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aktivít, či konkrétne modelové hodiny. </w:t>
            </w:r>
          </w:p>
          <w:p w14:paraId="3EC5F68B" w14:textId="599C4692" w:rsidR="00A826B0" w:rsidRPr="009978E3" w:rsidRDefault="00A826B0" w:rsidP="00E42429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77777777" w:rsidR="00731428" w:rsidRPr="007A2081" w:rsidRDefault="00F305BB" w:rsidP="00B5366B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E392BBE" w14:textId="5F315502" w:rsidR="005D3C9F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E42429">
              <w:rPr>
                <w:rFonts w:ascii="Times New Roman" w:hAnsi="Times New Roman"/>
                <w:b/>
              </w:rPr>
              <w:t xml:space="preserve">Pozitíva a negatíva fungovania pedagogického klubu počas </w:t>
            </w:r>
            <w:r w:rsidR="00433D85">
              <w:rPr>
                <w:rFonts w:ascii="Times New Roman" w:hAnsi="Times New Roman"/>
                <w:b/>
              </w:rPr>
              <w:t>1</w:t>
            </w:r>
            <w:r w:rsidR="00E42429">
              <w:rPr>
                <w:rFonts w:ascii="Times New Roman" w:hAnsi="Times New Roman"/>
                <w:b/>
              </w:rPr>
              <w:t>. polroka školského roka 202</w:t>
            </w:r>
            <w:r w:rsidR="00433D85">
              <w:rPr>
                <w:rFonts w:ascii="Times New Roman" w:hAnsi="Times New Roman"/>
                <w:b/>
              </w:rPr>
              <w:t>1</w:t>
            </w:r>
            <w:r w:rsidR="00E42429">
              <w:rPr>
                <w:rFonts w:ascii="Times New Roman" w:hAnsi="Times New Roman"/>
                <w:b/>
              </w:rPr>
              <w:t>/202</w:t>
            </w:r>
            <w:r w:rsidR="00433D85">
              <w:rPr>
                <w:rFonts w:ascii="Times New Roman" w:hAnsi="Times New Roman"/>
                <w:b/>
              </w:rPr>
              <w:t>2</w:t>
            </w:r>
            <w:r w:rsidR="00E42429">
              <w:rPr>
                <w:rFonts w:ascii="Times New Roman" w:hAnsi="Times New Roman"/>
                <w:b/>
              </w:rPr>
              <w:t>.</w:t>
            </w:r>
          </w:p>
          <w:p w14:paraId="6E2DFB3A" w14:textId="77777777" w:rsidR="00E42429" w:rsidRDefault="00E42429" w:rsidP="00E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57E4AF5" w14:textId="17DF28F3" w:rsidR="00E42429" w:rsidRDefault="00E42429" w:rsidP="00E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a.) Pozitívne stránky fungovania pedagogického klubu</w:t>
            </w:r>
            <w:r w:rsidR="00433D85">
              <w:rPr>
                <w:rFonts w:ascii="Times New Roman" w:hAnsi="Times New Roman"/>
                <w:color w:val="000000"/>
                <w:lang w:eastAsia="sk-SK"/>
              </w:rPr>
              <w:t xml:space="preserve"> finančnej gramotnosti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: </w:t>
            </w:r>
          </w:p>
          <w:p w14:paraId="490E5818" w14:textId="7D6B1F3B" w:rsidR="00E42429" w:rsidRDefault="00E42429" w:rsidP="00E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dochádzka členov pedagogického klubu</w:t>
            </w:r>
            <w:r w:rsidR="00E11279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14:paraId="4656684F" w14:textId="119A0E5A" w:rsidR="00E42429" w:rsidRDefault="00E42429" w:rsidP="00E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naplnenie cieľov stanovených členmi pedagogického klubu</w:t>
            </w:r>
            <w:r w:rsidR="00E11279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14:paraId="7BEC857F" w14:textId="5E25462B" w:rsidR="00E42429" w:rsidRDefault="00E42429" w:rsidP="00E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nahromadenie skúseností v rámci pedagogického klubu</w:t>
            </w:r>
            <w:r w:rsidR="00E11279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14:paraId="3BCA616F" w14:textId="5701D7A8" w:rsidR="00E42429" w:rsidRDefault="00E42429" w:rsidP="00E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spolupráca vo vnútri pedagogického klubu</w:t>
            </w:r>
            <w:r w:rsidR="00E1127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E08A262" w14:textId="635D750B" w:rsidR="00E42429" w:rsidRDefault="00E42429" w:rsidP="00E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b.) Negatívne stránky fungovania pedagogického klubu</w:t>
            </w:r>
            <w:r w:rsidR="00433D85">
              <w:rPr>
                <w:rFonts w:ascii="Times New Roman" w:hAnsi="Times New Roman"/>
                <w:color w:val="000000"/>
                <w:lang w:eastAsia="sk-SK"/>
              </w:rPr>
              <w:t xml:space="preserve"> finančnej gramotnosti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:</w:t>
            </w:r>
          </w:p>
          <w:p w14:paraId="201A3217" w14:textId="7CBB216B" w:rsidR="00E42429" w:rsidRDefault="00E42429" w:rsidP="00433D85">
            <w:p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pandémia COVID 19, ktorá zasiahla plány </w:t>
            </w:r>
            <w:r w:rsidR="00433D85">
              <w:rPr>
                <w:rFonts w:ascii="Times New Roman" w:hAnsi="Times New Roman"/>
                <w:color w:val="000000"/>
                <w:lang w:eastAsia="sk-SK"/>
              </w:rPr>
              <w:t xml:space="preserve">a fungovanie </w:t>
            </w:r>
            <w:r>
              <w:rPr>
                <w:rFonts w:ascii="Times New Roman" w:hAnsi="Times New Roman"/>
                <w:color w:val="000000"/>
                <w:lang w:eastAsia="sk-SK"/>
              </w:rPr>
              <w:t>pedagogického klubu</w:t>
            </w:r>
            <w:r w:rsidR="00433D85">
              <w:rPr>
                <w:rFonts w:ascii="Times New Roman" w:hAnsi="Times New Roman"/>
                <w:color w:val="000000"/>
                <w:lang w:eastAsia="sk-SK"/>
              </w:rPr>
              <w:t xml:space="preserve"> (v menšej   miere ako v predchádzajúcom období, ale predsa)</w:t>
            </w:r>
            <w:r w:rsidR="00E11279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14:paraId="6B2278E4" w14:textId="2B56A2B2" w:rsidR="00E11279" w:rsidRDefault="00E11279" w:rsidP="00E11279">
            <w:p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miera ovládania teoretických základov potrebných pre výučbu finančnej gramotnosti – tento fakt je spôsobený tým, že pre niektorých členov je samotná výuka a aplikovanie finančnej gramotnosti do praxe niečím novým,</w:t>
            </w:r>
          </w:p>
          <w:p w14:paraId="77491416" w14:textId="64D85074" w:rsidR="00D40B3D" w:rsidRDefault="00E42429" w:rsidP="00433D85">
            <w:pPr>
              <w:pStyle w:val="ListParagraph"/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CF7030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F7030">
              <w:rPr>
                <w:rFonts w:ascii="Times New Roman" w:hAnsi="Times New Roman"/>
                <w:bCs/>
              </w:rPr>
              <w:t xml:space="preserve">prehľad jednotlivých členov pedagogického klubu o zdrojoch možných pomôcok pre </w:t>
            </w:r>
            <w:r>
              <w:rPr>
                <w:rFonts w:ascii="Times New Roman" w:hAnsi="Times New Roman"/>
                <w:bCs/>
              </w:rPr>
              <w:t xml:space="preserve">       </w:t>
            </w:r>
            <w:r w:rsidRPr="00CF7030">
              <w:rPr>
                <w:rFonts w:ascii="Times New Roman" w:hAnsi="Times New Roman"/>
                <w:bCs/>
              </w:rPr>
              <w:t>vzdelávací proces žiakov v rámci predmetu finančná gramotnosť</w:t>
            </w:r>
          </w:p>
          <w:p w14:paraId="421F683B" w14:textId="77777777" w:rsidR="00526F01" w:rsidRDefault="00526F0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2C705BB" w14:textId="2119A4D3" w:rsidR="00E25C30" w:rsidRDefault="00D40B3D" w:rsidP="00433D8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6F01">
              <w:rPr>
                <w:rFonts w:ascii="Times New Roman" w:hAnsi="Times New Roman"/>
                <w:b/>
                <w:color w:val="000000"/>
              </w:rPr>
              <w:t xml:space="preserve">II. </w:t>
            </w:r>
            <w:r w:rsidR="00433D85">
              <w:rPr>
                <w:rFonts w:ascii="Times New Roman" w:hAnsi="Times New Roman"/>
                <w:b/>
                <w:color w:val="000000"/>
              </w:rPr>
              <w:t>Odporúčania pre pedagogický klub finančnej gramotnosti do 2. polroka školského roka 2021/2022.</w:t>
            </w:r>
          </w:p>
          <w:p w14:paraId="6FD4E6BA" w14:textId="77777777" w:rsidR="00E11279" w:rsidRDefault="00E11279" w:rsidP="00433D8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63277120" w14:textId="0FCF99A8" w:rsidR="00433D85" w:rsidRPr="00E11279" w:rsidRDefault="00433D85" w:rsidP="00433D8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11279">
              <w:rPr>
                <w:rFonts w:ascii="Times New Roman" w:hAnsi="Times New Roman"/>
                <w:bCs/>
                <w:color w:val="000000"/>
              </w:rPr>
              <w:t>Fungovanie pedagogického klubu finančnej gramotnosti možno hodnotiť pozitívne. Je preto</w:t>
            </w:r>
            <w:r w:rsidR="00E11279" w:rsidRPr="00E11279">
              <w:rPr>
                <w:rFonts w:ascii="Times New Roman" w:hAnsi="Times New Roman"/>
                <w:bCs/>
                <w:color w:val="000000"/>
              </w:rPr>
              <w:t xml:space="preserve"> dôležité zachovať tento trend</w:t>
            </w:r>
            <w:r w:rsidR="00E11279">
              <w:rPr>
                <w:rFonts w:ascii="Times New Roman" w:hAnsi="Times New Roman"/>
                <w:bCs/>
                <w:color w:val="000000"/>
              </w:rPr>
              <w:t>. Zároveň je dôležité popracovať na nedostatkoch.</w:t>
            </w:r>
          </w:p>
          <w:p w14:paraId="27C5AF96" w14:textId="7FCD3FB0" w:rsidR="009978E3" w:rsidRPr="009978E3" w:rsidRDefault="009978E3" w:rsidP="00965936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145585A3" w14:textId="2FF488FF" w:rsidR="009978E3" w:rsidRPr="00B440DB" w:rsidRDefault="009978E3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0CE5CC4E" w:rsidR="00F305BB" w:rsidRPr="007B6C7D" w:rsidRDefault="0031337F" w:rsidP="007B6C7D">
            <w:pPr>
              <w:tabs>
                <w:tab w:val="left" w:pos="1114"/>
              </w:tabs>
              <w:spacing w:after="0" w:line="240" w:lineRule="auto"/>
            </w:pPr>
            <w:r>
              <w:t>31</w:t>
            </w:r>
            <w:r w:rsidR="001C19D1">
              <w:t>.</w:t>
            </w:r>
            <w:r>
              <w:t>1</w:t>
            </w:r>
            <w:r w:rsidR="00C01FB2">
              <w:t>.20</w:t>
            </w:r>
            <w:r w:rsidR="00204559">
              <w:t>2</w:t>
            </w:r>
            <w:r>
              <w:t>2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422F38DC" w:rsidR="00DF1627" w:rsidRPr="007B6C7D" w:rsidRDefault="0031337F" w:rsidP="00993711">
            <w:pPr>
              <w:tabs>
                <w:tab w:val="left" w:pos="1114"/>
              </w:tabs>
              <w:spacing w:after="0" w:line="240" w:lineRule="auto"/>
            </w:pPr>
            <w:r>
              <w:t>31</w:t>
            </w:r>
            <w:r w:rsidR="001B07BD">
              <w:t>.</w:t>
            </w:r>
            <w:r>
              <w:t>1</w:t>
            </w:r>
            <w:r w:rsidR="00204559">
              <w:t>.202</w:t>
            </w:r>
            <w:r>
              <w:t>2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551AA3F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401A0D2" w14:textId="77777777" w:rsidR="00EB2729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A10EF1E" w14:textId="77777777" w:rsidR="00E25C30" w:rsidRDefault="00E25C30" w:rsidP="00A14C1A">
      <w:pPr>
        <w:tabs>
          <w:tab w:val="left" w:pos="1114"/>
        </w:tabs>
        <w:rPr>
          <w:rFonts w:ascii="Times New Roman" w:hAnsi="Times New Roman"/>
        </w:rPr>
      </w:pPr>
    </w:p>
    <w:p w14:paraId="1DDCF0F8" w14:textId="77777777" w:rsidR="00E25C30" w:rsidRDefault="00E25C30" w:rsidP="00A14C1A">
      <w:pPr>
        <w:tabs>
          <w:tab w:val="left" w:pos="1114"/>
        </w:tabs>
        <w:rPr>
          <w:rFonts w:ascii="Times New Roman" w:hAnsi="Times New Roman"/>
        </w:rPr>
      </w:pPr>
    </w:p>
    <w:p w14:paraId="06EF3B17" w14:textId="77777777" w:rsidR="00E25C30" w:rsidRDefault="00E25C30" w:rsidP="00A14C1A">
      <w:pPr>
        <w:tabs>
          <w:tab w:val="left" w:pos="1114"/>
        </w:tabs>
        <w:rPr>
          <w:rFonts w:ascii="Times New Roman" w:hAnsi="Times New Roman"/>
        </w:rPr>
      </w:pPr>
    </w:p>
    <w:p w14:paraId="689C5BB1" w14:textId="77777777" w:rsidR="00E25C30" w:rsidRDefault="00E25C30" w:rsidP="00A14C1A">
      <w:pPr>
        <w:tabs>
          <w:tab w:val="left" w:pos="1114"/>
        </w:tabs>
        <w:rPr>
          <w:rFonts w:ascii="Times New Roman" w:hAnsi="Times New Roman"/>
        </w:rPr>
      </w:pPr>
    </w:p>
    <w:p w14:paraId="483F01FE" w14:textId="77777777" w:rsidR="00E25C30" w:rsidRDefault="00E25C30" w:rsidP="00A14C1A">
      <w:pPr>
        <w:tabs>
          <w:tab w:val="left" w:pos="1114"/>
        </w:tabs>
        <w:rPr>
          <w:rFonts w:ascii="Times New Roman" w:hAnsi="Times New Roman"/>
        </w:rPr>
      </w:pPr>
    </w:p>
    <w:p w14:paraId="04E05379" w14:textId="77777777" w:rsidR="00E25C30" w:rsidRDefault="00E25C30" w:rsidP="00A14C1A">
      <w:pPr>
        <w:tabs>
          <w:tab w:val="left" w:pos="1114"/>
        </w:tabs>
        <w:rPr>
          <w:rFonts w:ascii="Times New Roman" w:hAnsi="Times New Roman"/>
        </w:rPr>
      </w:pPr>
    </w:p>
    <w:p w14:paraId="16CFAE73" w14:textId="77777777" w:rsidR="00177FC3" w:rsidRDefault="00177FC3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1335ECF2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7D9505C3" w:rsidR="00F305BB" w:rsidRDefault="00F305BB" w:rsidP="00D0796E">
      <w:r>
        <w:t>Dátum konania stretnutia:</w:t>
      </w:r>
      <w:r w:rsidR="00121E7B">
        <w:t xml:space="preserve"> </w:t>
      </w:r>
      <w:r w:rsidR="0031337F">
        <w:rPr>
          <w:b/>
        </w:rPr>
        <w:t>31</w:t>
      </w:r>
      <w:r w:rsidR="00DD4269">
        <w:rPr>
          <w:b/>
        </w:rPr>
        <w:t>.</w:t>
      </w:r>
      <w:r w:rsidR="0031337F">
        <w:rPr>
          <w:b/>
        </w:rPr>
        <w:t>1</w:t>
      </w:r>
      <w:r w:rsidR="00204559">
        <w:rPr>
          <w:b/>
        </w:rPr>
        <w:t>.202</w:t>
      </w:r>
      <w:r w:rsidR="0031337F">
        <w:rPr>
          <w:b/>
        </w:rPr>
        <w:t>2</w:t>
      </w:r>
    </w:p>
    <w:p w14:paraId="3BE80F06" w14:textId="498BADBF" w:rsidR="00F305BB" w:rsidRDefault="00121E7B" w:rsidP="00D0796E">
      <w:r>
        <w:t xml:space="preserve">Trvanie stretnutia:  od </w:t>
      </w:r>
      <w:r w:rsidR="00BB0677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</w:t>
      </w:r>
      <w:r w:rsidR="00BB0677">
        <w:rPr>
          <w:b/>
        </w:rPr>
        <w:t>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E09F6"/>
    <w:multiLevelType w:val="multilevel"/>
    <w:tmpl w:val="7F9CE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9F423D"/>
    <w:multiLevelType w:val="hybridMultilevel"/>
    <w:tmpl w:val="881AEB02"/>
    <w:lvl w:ilvl="0" w:tplc="4886A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B00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AEF"/>
    <w:multiLevelType w:val="hybridMultilevel"/>
    <w:tmpl w:val="32A65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33AA"/>
    <w:multiLevelType w:val="hybridMultilevel"/>
    <w:tmpl w:val="3FA65110"/>
    <w:lvl w:ilvl="0" w:tplc="4E8EF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F7544"/>
    <w:multiLevelType w:val="hybridMultilevel"/>
    <w:tmpl w:val="90721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00FCB"/>
    <w:multiLevelType w:val="hybridMultilevel"/>
    <w:tmpl w:val="2814E8DE"/>
    <w:lvl w:ilvl="0" w:tplc="4E8EF7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6A13"/>
    <w:multiLevelType w:val="hybridMultilevel"/>
    <w:tmpl w:val="BA562CE2"/>
    <w:lvl w:ilvl="0" w:tplc="4E8EF7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60481"/>
    <w:multiLevelType w:val="hybridMultilevel"/>
    <w:tmpl w:val="5FF6B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29A1"/>
    <w:multiLevelType w:val="multilevel"/>
    <w:tmpl w:val="8EA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A8F"/>
    <w:multiLevelType w:val="hybridMultilevel"/>
    <w:tmpl w:val="416C3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E3E6D"/>
    <w:multiLevelType w:val="hybridMultilevel"/>
    <w:tmpl w:val="1C148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B8A8B040"/>
    <w:lvl w:ilvl="0" w:tplc="37725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B16CFD"/>
    <w:multiLevelType w:val="hybridMultilevel"/>
    <w:tmpl w:val="1D407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510A"/>
    <w:rsid w:val="00027A00"/>
    <w:rsid w:val="00053B89"/>
    <w:rsid w:val="000809AA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77FC3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04902"/>
    <w:rsid w:val="0020717F"/>
    <w:rsid w:val="00225CD9"/>
    <w:rsid w:val="002660B9"/>
    <w:rsid w:val="00267235"/>
    <w:rsid w:val="0027087C"/>
    <w:rsid w:val="00274174"/>
    <w:rsid w:val="002941FE"/>
    <w:rsid w:val="00297243"/>
    <w:rsid w:val="002A4890"/>
    <w:rsid w:val="002B41EF"/>
    <w:rsid w:val="002D7F9B"/>
    <w:rsid w:val="002D7FC6"/>
    <w:rsid w:val="002E3894"/>
    <w:rsid w:val="002E3F1A"/>
    <w:rsid w:val="0031337F"/>
    <w:rsid w:val="00321C89"/>
    <w:rsid w:val="003304A9"/>
    <w:rsid w:val="0034733D"/>
    <w:rsid w:val="003700F7"/>
    <w:rsid w:val="00374F0C"/>
    <w:rsid w:val="003876CE"/>
    <w:rsid w:val="00390E1A"/>
    <w:rsid w:val="00390FFC"/>
    <w:rsid w:val="003E1A92"/>
    <w:rsid w:val="003F10E0"/>
    <w:rsid w:val="004108EF"/>
    <w:rsid w:val="00423CC3"/>
    <w:rsid w:val="00433D85"/>
    <w:rsid w:val="00446402"/>
    <w:rsid w:val="00452814"/>
    <w:rsid w:val="004631AB"/>
    <w:rsid w:val="004C05D7"/>
    <w:rsid w:val="004C3D46"/>
    <w:rsid w:val="004D0A96"/>
    <w:rsid w:val="004D3EE8"/>
    <w:rsid w:val="004F368A"/>
    <w:rsid w:val="0050656D"/>
    <w:rsid w:val="00507481"/>
    <w:rsid w:val="00507CF5"/>
    <w:rsid w:val="005154C2"/>
    <w:rsid w:val="005255F2"/>
    <w:rsid w:val="00526F01"/>
    <w:rsid w:val="0053326D"/>
    <w:rsid w:val="005361EC"/>
    <w:rsid w:val="00541786"/>
    <w:rsid w:val="0055263C"/>
    <w:rsid w:val="00557445"/>
    <w:rsid w:val="005575A0"/>
    <w:rsid w:val="00583AF0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561FB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D5D08"/>
    <w:rsid w:val="008E42F3"/>
    <w:rsid w:val="008F68B0"/>
    <w:rsid w:val="0091100F"/>
    <w:rsid w:val="00961143"/>
    <w:rsid w:val="00965936"/>
    <w:rsid w:val="009817F2"/>
    <w:rsid w:val="0098692D"/>
    <w:rsid w:val="00993711"/>
    <w:rsid w:val="009978E3"/>
    <w:rsid w:val="009C3018"/>
    <w:rsid w:val="009C47DD"/>
    <w:rsid w:val="009E6B44"/>
    <w:rsid w:val="009F4F76"/>
    <w:rsid w:val="00A01FC2"/>
    <w:rsid w:val="00A14C1A"/>
    <w:rsid w:val="00A47DB9"/>
    <w:rsid w:val="00A71E3A"/>
    <w:rsid w:val="00A81A71"/>
    <w:rsid w:val="00A826B0"/>
    <w:rsid w:val="00A9043F"/>
    <w:rsid w:val="00A93FAE"/>
    <w:rsid w:val="00AA01F3"/>
    <w:rsid w:val="00AB111C"/>
    <w:rsid w:val="00AB6AF1"/>
    <w:rsid w:val="00AB7989"/>
    <w:rsid w:val="00AC3BDB"/>
    <w:rsid w:val="00AC7B1A"/>
    <w:rsid w:val="00AD0F25"/>
    <w:rsid w:val="00AD4974"/>
    <w:rsid w:val="00AF5989"/>
    <w:rsid w:val="00B058E9"/>
    <w:rsid w:val="00B15935"/>
    <w:rsid w:val="00B37B85"/>
    <w:rsid w:val="00B440DB"/>
    <w:rsid w:val="00B45F59"/>
    <w:rsid w:val="00B5326A"/>
    <w:rsid w:val="00B5366B"/>
    <w:rsid w:val="00B57437"/>
    <w:rsid w:val="00B633DE"/>
    <w:rsid w:val="00B71530"/>
    <w:rsid w:val="00B76EAE"/>
    <w:rsid w:val="00BB0677"/>
    <w:rsid w:val="00BB5601"/>
    <w:rsid w:val="00BD60E8"/>
    <w:rsid w:val="00BF2F35"/>
    <w:rsid w:val="00BF4683"/>
    <w:rsid w:val="00BF4792"/>
    <w:rsid w:val="00C01FB2"/>
    <w:rsid w:val="00C065E1"/>
    <w:rsid w:val="00C076C2"/>
    <w:rsid w:val="00C665D2"/>
    <w:rsid w:val="00C71E7D"/>
    <w:rsid w:val="00C73040"/>
    <w:rsid w:val="00C73CDD"/>
    <w:rsid w:val="00C87378"/>
    <w:rsid w:val="00CA0B4D"/>
    <w:rsid w:val="00CA771E"/>
    <w:rsid w:val="00CB4288"/>
    <w:rsid w:val="00CC76D6"/>
    <w:rsid w:val="00CD6F7B"/>
    <w:rsid w:val="00CD7D64"/>
    <w:rsid w:val="00CF35D8"/>
    <w:rsid w:val="00CF4642"/>
    <w:rsid w:val="00D0796E"/>
    <w:rsid w:val="00D140E3"/>
    <w:rsid w:val="00D357AF"/>
    <w:rsid w:val="00D40B3D"/>
    <w:rsid w:val="00D55DA4"/>
    <w:rsid w:val="00D5619C"/>
    <w:rsid w:val="00D57DD7"/>
    <w:rsid w:val="00D77310"/>
    <w:rsid w:val="00D94D4C"/>
    <w:rsid w:val="00DA6ABC"/>
    <w:rsid w:val="00DD1AA4"/>
    <w:rsid w:val="00DD4269"/>
    <w:rsid w:val="00DD5AC8"/>
    <w:rsid w:val="00DF1627"/>
    <w:rsid w:val="00E019A0"/>
    <w:rsid w:val="00E11279"/>
    <w:rsid w:val="00E25C30"/>
    <w:rsid w:val="00E36C97"/>
    <w:rsid w:val="00E376F0"/>
    <w:rsid w:val="00E42429"/>
    <w:rsid w:val="00E52878"/>
    <w:rsid w:val="00E646EC"/>
    <w:rsid w:val="00E8750E"/>
    <w:rsid w:val="00E926D8"/>
    <w:rsid w:val="00EB2729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94E6-00B5-4180-87F8-00CAEC41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cloudconvert_2</cp:lastModifiedBy>
  <cp:revision>1</cp:revision>
  <cp:lastPrinted>2022-02-03T09:07:00Z</cp:lastPrinted>
  <dcterms:created xsi:type="dcterms:W3CDTF">2022-02-03T07:35:00Z</dcterms:created>
  <dcterms:modified xsi:type="dcterms:W3CDTF">2023-03-01T02:40:00Z</dcterms:modified>
</cp:coreProperties>
</file>