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7FA4D86B" w:rsidR="00F14AD7" w:rsidRPr="001E068F" w:rsidRDefault="0098692D" w:rsidP="00993711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204559">
              <w:t>.</w:t>
            </w:r>
            <w:r>
              <w:t>4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904BFD6" w14:textId="77777777" w:rsidR="0053326D" w:rsidRDefault="0053326D" w:rsidP="0053326D">
            <w:pPr>
              <w:pStyle w:val="NoSpacing"/>
            </w:pPr>
          </w:p>
          <w:p w14:paraId="1023D848" w14:textId="65F4C87A" w:rsidR="00A14C1A" w:rsidRDefault="00374F0C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="00F14AD7" w:rsidRPr="0053326D">
              <w:rPr>
                <w:rFonts w:ascii="Times New Roman" w:hAnsi="Times New Roman"/>
              </w:rPr>
              <w:t xml:space="preserve">inančná gramotnosť, </w:t>
            </w:r>
            <w:r w:rsidR="00E52878" w:rsidRPr="0053326D">
              <w:rPr>
                <w:rFonts w:ascii="Times New Roman" w:hAnsi="Times New Roman"/>
              </w:rPr>
              <w:t>metodika výučby finančnej gramotnosti</w:t>
            </w:r>
            <w:r w:rsidR="00E376F0" w:rsidRPr="0053326D">
              <w:rPr>
                <w:rFonts w:ascii="Times New Roman" w:hAnsi="Times New Roman"/>
              </w:rPr>
              <w:t>,</w:t>
            </w:r>
            <w:r w:rsidR="00A93FAE" w:rsidRPr="0053326D">
              <w:rPr>
                <w:rFonts w:ascii="Times New Roman" w:hAnsi="Times New Roman"/>
              </w:rPr>
              <w:t xml:space="preserve"> otvo</w:t>
            </w:r>
            <w:r w:rsidR="0053326D" w:rsidRPr="0053326D">
              <w:rPr>
                <w:rFonts w:ascii="Times New Roman" w:hAnsi="Times New Roman"/>
              </w:rPr>
              <w:t xml:space="preserve">rená hodina, aktivizujúce metódy, motivačný rozhovor, </w:t>
            </w:r>
            <w:r w:rsidR="0053326D" w:rsidRPr="0053326D">
              <w:rPr>
                <w:rFonts w:ascii="Times New Roman" w:hAnsi="Times New Roman"/>
                <w:color w:val="1B0F14"/>
              </w:rPr>
              <w:t>riadený rozhovor, čítanie s porozumením</w:t>
            </w:r>
            <w:r w:rsidR="0053326D" w:rsidRPr="0053326D">
              <w:rPr>
                <w:rFonts w:ascii="Times New Roman" w:hAnsi="Times New Roman"/>
              </w:rPr>
              <w:t xml:space="preserve">, </w:t>
            </w:r>
            <w:r w:rsidR="0053326D" w:rsidRPr="0053326D">
              <w:rPr>
                <w:rFonts w:ascii="Times New Roman" w:hAnsi="Times New Roman"/>
                <w:color w:val="1B0F14"/>
              </w:rPr>
              <w:t>situačná metóda</w:t>
            </w:r>
            <w:r w:rsidR="00A93FAE" w:rsidRPr="0053326D">
              <w:rPr>
                <w:rFonts w:ascii="Times New Roman" w:hAnsi="Times New Roman"/>
              </w:rPr>
              <w:t>.</w:t>
            </w:r>
          </w:p>
          <w:p w14:paraId="62B87C03" w14:textId="3A2DF52F" w:rsidR="0053326D" w:rsidRPr="0053326D" w:rsidRDefault="0053326D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93FAE">
              <w:rPr>
                <w:rFonts w:ascii="Times New Roman" w:hAnsi="Times New Roman"/>
              </w:rPr>
              <w:t xml:space="preserve">Hlavné body, témy stretnutia, zhrnutie priebehu stretnutia: </w:t>
            </w:r>
          </w:p>
          <w:p w14:paraId="11347645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24A9E77F" w14:textId="24A4859D" w:rsidR="00F305BB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A)</w:t>
            </w:r>
            <w:r w:rsidR="009C47DD" w:rsidRPr="00A93FAE">
              <w:rPr>
                <w:rFonts w:ascii="Times New Roman" w:hAnsi="Times New Roman"/>
              </w:rPr>
              <w:t xml:space="preserve"> </w:t>
            </w:r>
            <w:r w:rsidR="0098692D" w:rsidRPr="00A93FAE">
              <w:rPr>
                <w:rFonts w:ascii="Times New Roman" w:hAnsi="Times New Roman"/>
                <w:color w:val="000000"/>
              </w:rPr>
              <w:t>Príprava otvorenej hodiny z finančnej gramotnosti s využitím vybraných aktivizujúcich metód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0988DE7" w14:textId="0788B794" w:rsid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14:paraId="22F76862" w14:textId="461ACDD0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Diskusia členov pedagogického klubu týkajúca sa vhodných aktivizujúcich metód na hodinu finančnej gramotnosti</w:t>
            </w:r>
            <w:r w:rsidR="0053326D">
              <w:rPr>
                <w:rFonts w:ascii="Times New Roman" w:hAnsi="Times New Roman"/>
              </w:rPr>
              <w:t xml:space="preserve"> </w:t>
            </w:r>
            <w:r w:rsidR="002B41EF">
              <w:rPr>
                <w:rFonts w:ascii="Times New Roman" w:hAnsi="Times New Roman"/>
              </w:rPr>
              <w:t>s témou</w:t>
            </w:r>
            <w:r w:rsidR="0053326D">
              <w:rPr>
                <w:rFonts w:ascii="Times New Roman" w:hAnsi="Times New Roman"/>
              </w:rPr>
              <w:t>: Riadenie financií</w:t>
            </w:r>
            <w:r>
              <w:rPr>
                <w:rFonts w:ascii="Times New Roman" w:hAnsi="Times New Roman"/>
              </w:rPr>
              <w:t>.</w:t>
            </w:r>
            <w:r w:rsidR="002B41EF">
              <w:rPr>
                <w:rFonts w:ascii="Times New Roman" w:hAnsi="Times New Roman"/>
              </w:rPr>
              <w:t xml:space="preserve"> Členovia sa r</w:t>
            </w:r>
            <w:r w:rsidR="00027A00">
              <w:rPr>
                <w:rFonts w:ascii="Times New Roman" w:hAnsi="Times New Roman"/>
              </w:rPr>
              <w:t>ozhodli zamerať na poistenie v rámci dovolenky. Táto investícia zapadá do krátkodobého rodinného finančného plánovania. Členovia predostreli rôzne návrhy a nápady, z ktorých neskôr vznikol konečný plán hodiny.</w:t>
            </w:r>
          </w:p>
          <w:p w14:paraId="2522AFFB" w14:textId="77777777" w:rsidR="00AD4974" w:rsidRPr="00A93FAE" w:rsidRDefault="00AD4974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4152684B" w14:textId="1FDBBACD" w:rsidR="005A7883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B)</w:t>
            </w:r>
            <w:r w:rsidR="00BD60E8" w:rsidRPr="00A93FAE">
              <w:rPr>
                <w:rFonts w:ascii="Times New Roman" w:hAnsi="Times New Roman"/>
                <w:color w:val="000000"/>
              </w:rPr>
              <w:t xml:space="preserve"> </w:t>
            </w:r>
            <w:r w:rsidR="0098692D" w:rsidRPr="00A93FAE">
              <w:rPr>
                <w:rFonts w:ascii="Times New Roman" w:hAnsi="Times New Roman"/>
              </w:rPr>
              <w:t xml:space="preserve">Členovia klubu vytvorili otvorenú hodinu s využitím </w:t>
            </w:r>
            <w:r w:rsidR="002B41EF">
              <w:rPr>
                <w:rFonts w:ascii="Times New Roman" w:hAnsi="Times New Roman"/>
              </w:rPr>
              <w:t>vybraných aktivizujúcich metód</w:t>
            </w:r>
            <w:r w:rsidR="0098692D" w:rsidRPr="00A93FAE">
              <w:rPr>
                <w:rFonts w:ascii="Times New Roman" w:hAnsi="Times New Roman"/>
              </w:rPr>
              <w:t>.</w:t>
            </w:r>
          </w:p>
          <w:p w14:paraId="3BF335B4" w14:textId="77777777" w:rsidR="002B41EF" w:rsidRDefault="002B41EF" w:rsidP="0053326D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1B0F14"/>
                <w:lang w:eastAsia="sk-SK"/>
              </w:rPr>
            </w:pPr>
          </w:p>
          <w:p w14:paraId="0C83F8E2" w14:textId="7C6000F8" w:rsidR="00B15935" w:rsidRDefault="002B41EF" w:rsidP="0053326D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1B0F1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1B0F14"/>
                <w:lang w:eastAsia="sk-SK"/>
              </w:rPr>
              <w:t>Predmet: Finančná gramotnosť</w:t>
            </w:r>
          </w:p>
          <w:p w14:paraId="0A122E59" w14:textId="1DD1113C" w:rsidR="002B41EF" w:rsidRDefault="002B41EF" w:rsidP="0053326D">
            <w:pPr>
              <w:pStyle w:val="NoSpacing"/>
              <w:jc w:val="both"/>
              <w:rPr>
                <w:rFonts w:ascii="Times New Roman" w:eastAsia="Times New Roman" w:hAnsi="Times New Roman"/>
                <w:bCs/>
                <w:color w:val="1B0F1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color w:val="1B0F14"/>
                <w:lang w:eastAsia="sk-SK"/>
              </w:rPr>
              <w:t>Téma: Riadenie financií (zameranie na poistenie na dovolenke)</w:t>
            </w:r>
          </w:p>
          <w:p w14:paraId="1BAA1856" w14:textId="77777777" w:rsidR="002B41EF" w:rsidRDefault="002B41EF" w:rsidP="0002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187EDBFE" w14:textId="788EDC65" w:rsidR="00027A00" w:rsidRPr="00027A00" w:rsidRDefault="00027A00" w:rsidP="0002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 xml:space="preserve">Kognitívny cieľ: </w:t>
            </w:r>
          </w:p>
          <w:p w14:paraId="4FAFAC15" w14:textId="77777777" w:rsidR="00027A00" w:rsidRPr="00027A00" w:rsidRDefault="00027A00" w:rsidP="00027A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>Poznať podstatu a možnosti poistenia, ktoré chránia pred hroziacimi rizikami.</w:t>
            </w:r>
          </w:p>
          <w:p w14:paraId="21698596" w14:textId="77777777" w:rsidR="00027A00" w:rsidRPr="00027A00" w:rsidRDefault="00027A00" w:rsidP="00027A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>Navrhnúť najvhodnejší druh poistenia vzhľadom na danú situáciu.</w:t>
            </w:r>
          </w:p>
          <w:p w14:paraId="68368ACE" w14:textId="77777777" w:rsidR="00027A00" w:rsidRPr="00027A00" w:rsidRDefault="00027A00" w:rsidP="00027A0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>Zlepšiť komunikačné schopnosti žiakov.</w:t>
            </w:r>
          </w:p>
          <w:p w14:paraId="0F77ED56" w14:textId="77777777" w:rsidR="00027A00" w:rsidRPr="00027A00" w:rsidRDefault="00027A00" w:rsidP="00027A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 xml:space="preserve">Afektívny cieľ: </w:t>
            </w:r>
          </w:p>
          <w:p w14:paraId="06D8B052" w14:textId="77777777" w:rsidR="00027A00" w:rsidRPr="00027A00" w:rsidRDefault="00027A00" w:rsidP="00027A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>Vcítiť sa do roly človeka v modelovej situácii a akceptovať ju.</w:t>
            </w:r>
          </w:p>
          <w:p w14:paraId="15F6AA3F" w14:textId="542CAB78" w:rsidR="00027A00" w:rsidRPr="00027A00" w:rsidRDefault="00027A00" w:rsidP="00027A00">
            <w:pPr>
              <w:pStyle w:val="NoSpacing"/>
              <w:ind w:left="720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027A00">
              <w:rPr>
                <w:rFonts w:ascii="Times New Roman" w:eastAsia="Times New Roman" w:hAnsi="Times New Roman"/>
                <w:lang w:eastAsia="sk-SK"/>
              </w:rPr>
              <w:t>Rešpektovať pluralitu názorov svojich spolužiakov.</w:t>
            </w:r>
          </w:p>
          <w:p w14:paraId="34AF3A7E" w14:textId="77777777" w:rsidR="00B15935" w:rsidRDefault="00B15935" w:rsidP="00B15935">
            <w:pPr>
              <w:pStyle w:val="NoSpacing"/>
              <w:rPr>
                <w:rFonts w:ascii="Times New Roman" w:eastAsia="Times New Roman" w:hAnsi="Times New Roman"/>
                <w:color w:val="1B0F14"/>
                <w:lang w:eastAsia="sk-SK"/>
              </w:rPr>
            </w:pPr>
          </w:p>
          <w:p w14:paraId="40A46F55" w14:textId="74AFC3C7" w:rsidR="00A93FAE" w:rsidRPr="00A93FAE" w:rsidRDefault="00A93FAE" w:rsidP="00027A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bCs/>
                <w:color w:val="1B0F14"/>
                <w:lang w:eastAsia="sk-SK"/>
              </w:rPr>
              <w:t>Organizačná časť</w:t>
            </w: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:</w:t>
            </w:r>
          </w:p>
          <w:p w14:paraId="41886770" w14:textId="35E03F5F" w:rsidR="00A93FAE" w:rsidRPr="00A93FAE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Pozdrav, kontrola neprítomnosti a zápis do triednej knihy.</w:t>
            </w:r>
          </w:p>
          <w:p w14:paraId="28F4F866" w14:textId="569E79CC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1B0F14"/>
              </w:rPr>
            </w:pPr>
            <w:r w:rsidRPr="00A93FAE">
              <w:rPr>
                <w:rFonts w:ascii="Times New Roman" w:hAnsi="Times New Roman"/>
                <w:color w:val="1B0F14"/>
              </w:rPr>
              <w:t xml:space="preserve">Slovné oboznámenie žiakov s cieľom a štruktúrou hodiny. </w:t>
            </w:r>
          </w:p>
          <w:p w14:paraId="34D4995D" w14:textId="77777777" w:rsidR="00A93FAE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</w:p>
          <w:p w14:paraId="03AB3C68" w14:textId="36C66419" w:rsidR="00A93FAE" w:rsidRPr="00A93FAE" w:rsidRDefault="00A93FAE" w:rsidP="00027A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Motivačná fáza:</w:t>
            </w:r>
          </w:p>
          <w:p w14:paraId="2A6131B4" w14:textId="77777777" w:rsidR="00A93FAE" w:rsidRPr="00A93FAE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u w:val="single"/>
                <w:lang w:eastAsia="sk-SK"/>
              </w:rPr>
              <w:t xml:space="preserve">Metóda </w:t>
            </w: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: motivačný rozhovor</w:t>
            </w:r>
          </w:p>
          <w:p w14:paraId="6DBC9E0E" w14:textId="7C25098F" w:rsidR="00A93FAE" w:rsidRPr="00A93FAE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Učiteľ navodí konkrétnym príbehom zo života modelovú situáciu prípravy rodinnej dovolenky na vysnívané miesto (žiaci môžu rozprávať o svojich vytúžených destin</w:t>
            </w:r>
            <w:r w:rsidR="00B15935">
              <w:rPr>
                <w:rFonts w:ascii="Times New Roman" w:eastAsia="Times New Roman" w:hAnsi="Times New Roman"/>
                <w:color w:val="1B0F14"/>
                <w:lang w:eastAsia="sk-SK"/>
              </w:rPr>
              <w:t>áciách, kam by sa chceli vybrať</w:t>
            </w: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)</w:t>
            </w:r>
            <w:r w:rsidR="0053326D">
              <w:rPr>
                <w:rFonts w:ascii="Times New Roman" w:eastAsia="Times New Roman" w:hAnsi="Times New Roman"/>
                <w:color w:val="1B0F14"/>
                <w:lang w:eastAsia="sk-SK"/>
              </w:rPr>
              <w:t>.</w:t>
            </w:r>
          </w:p>
          <w:p w14:paraId="78086CDA" w14:textId="33ECA4EB" w:rsidR="00A93FAE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Vhodnými otázkami učiteľ motivuje žiakov do rozhovoru o možných nástrahách pobytu na rôznych miestach sveta, o rizikových a krízových situáciách, ktoré môžu nastať na rodinnej dovolenke.</w:t>
            </w:r>
          </w:p>
          <w:p w14:paraId="2B0B0B95" w14:textId="77777777" w:rsidR="0053326D" w:rsidRPr="00A93FAE" w:rsidRDefault="0053326D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</w:p>
          <w:p w14:paraId="7644EB71" w14:textId="77777777" w:rsidR="00A93FAE" w:rsidRPr="002B41EF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2B41EF">
              <w:rPr>
                <w:rFonts w:ascii="Times New Roman" w:eastAsia="Times New Roman" w:hAnsi="Times New Roman"/>
                <w:color w:val="1B0F14"/>
                <w:lang w:eastAsia="sk-SK"/>
              </w:rPr>
              <w:t>Vhodne zvolené otázky:</w:t>
            </w:r>
          </w:p>
          <w:p w14:paraId="4D093ED1" w14:textId="77777777" w:rsidR="00A93FAE" w:rsidRPr="002B41EF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2B41EF">
              <w:rPr>
                <w:rFonts w:ascii="Times New Roman" w:eastAsia="Times New Roman" w:hAnsi="Times New Roman"/>
                <w:color w:val="1B0F14"/>
                <w:lang w:eastAsia="sk-SK"/>
              </w:rPr>
              <w:t>1. Chodí vaša rodina na dovolenku poistená? Prečo?</w:t>
            </w:r>
          </w:p>
          <w:p w14:paraId="76BBC000" w14:textId="77777777" w:rsidR="00A93FAE" w:rsidRPr="002B41EF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2B41EF">
              <w:rPr>
                <w:rFonts w:ascii="Times New Roman" w:eastAsia="Times New Roman" w:hAnsi="Times New Roman"/>
                <w:color w:val="1B0F14"/>
                <w:lang w:eastAsia="sk-SK"/>
              </w:rPr>
              <w:t>2. Aký význam má, podľa Vás, poistenie?</w:t>
            </w:r>
          </w:p>
          <w:p w14:paraId="1BC1A54E" w14:textId="77777777" w:rsidR="00A93FAE" w:rsidRPr="002B41EF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2B41EF">
              <w:rPr>
                <w:rFonts w:ascii="Times New Roman" w:eastAsia="Times New Roman" w:hAnsi="Times New Roman"/>
                <w:color w:val="1B0F14"/>
                <w:lang w:eastAsia="sk-SK"/>
              </w:rPr>
              <w:t>3. Máte doma poistené  aj iné časti Vášho majetku? Aké?</w:t>
            </w:r>
          </w:p>
          <w:p w14:paraId="6EEF6AFD" w14:textId="77777777" w:rsidR="00A93FAE" w:rsidRPr="002B41EF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2B41EF">
              <w:rPr>
                <w:rFonts w:ascii="Times New Roman" w:eastAsia="Times New Roman" w:hAnsi="Times New Roman"/>
                <w:color w:val="1B0F14"/>
                <w:lang w:eastAsia="sk-SK"/>
              </w:rPr>
              <w:t>4. Čo všetko si môžeme dať poistiť?</w:t>
            </w:r>
          </w:p>
          <w:p w14:paraId="71E85AF4" w14:textId="77777777" w:rsidR="00A93FAE" w:rsidRPr="002B41EF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2B41EF">
              <w:rPr>
                <w:rFonts w:ascii="Times New Roman" w:eastAsia="Times New Roman" w:hAnsi="Times New Roman"/>
                <w:color w:val="1B0F14"/>
                <w:lang w:eastAsia="sk-SK"/>
              </w:rPr>
              <w:t>5. Ste poistení?</w:t>
            </w:r>
          </w:p>
          <w:p w14:paraId="38488B80" w14:textId="16C605CA" w:rsidR="0053326D" w:rsidRDefault="0053326D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</w:p>
          <w:p w14:paraId="0560F577" w14:textId="4A2CEB37" w:rsidR="00A93FAE" w:rsidRPr="00A93FAE" w:rsidRDefault="00A93FAE" w:rsidP="00027A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lastRenderedPageBreak/>
              <w:t>Expozičná fáza:</w:t>
            </w:r>
          </w:p>
          <w:p w14:paraId="73B5801D" w14:textId="171E9301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1B0F14"/>
              </w:rPr>
            </w:pPr>
            <w:r w:rsidRPr="00A93FAE">
              <w:rPr>
                <w:rFonts w:ascii="Times New Roman" w:hAnsi="Times New Roman"/>
                <w:color w:val="1B0F14"/>
                <w:u w:val="single"/>
              </w:rPr>
              <w:t>Metódy:</w:t>
            </w:r>
            <w:r w:rsidRPr="0053326D">
              <w:rPr>
                <w:rFonts w:ascii="Times New Roman" w:hAnsi="Times New Roman"/>
                <w:color w:val="1B0F14"/>
              </w:rPr>
              <w:t xml:space="preserve">  </w:t>
            </w:r>
            <w:r w:rsidRPr="00A93FAE">
              <w:rPr>
                <w:rFonts w:ascii="Times New Roman" w:hAnsi="Times New Roman"/>
                <w:color w:val="1B0F14"/>
              </w:rPr>
              <w:t>riadený rozhovor, čítanie s porozumením v nesúvislom texte</w:t>
            </w:r>
          </w:p>
          <w:p w14:paraId="1500C6FB" w14:textId="7ED6894F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1B0F14"/>
              </w:rPr>
            </w:pPr>
            <w:r w:rsidRPr="00A93FAE">
              <w:rPr>
                <w:rFonts w:ascii="Times New Roman" w:hAnsi="Times New Roman"/>
                <w:color w:val="1B0F14"/>
                <w:u w:val="single"/>
              </w:rPr>
              <w:t>Pomôcky</w:t>
            </w:r>
            <w:r w:rsidRPr="00A93FAE">
              <w:rPr>
                <w:rFonts w:ascii="Times New Roman" w:hAnsi="Times New Roman"/>
                <w:color w:val="1B0F14"/>
              </w:rPr>
              <w:t xml:space="preserve">: </w:t>
            </w:r>
            <w:r w:rsidR="00B15935">
              <w:rPr>
                <w:rFonts w:ascii="Times New Roman" w:hAnsi="Times New Roman"/>
                <w:color w:val="1B0F14"/>
              </w:rPr>
              <w:t>internetové pripojenie, webové stránky cestovných kancelárii, stránky poistení</w:t>
            </w:r>
          </w:p>
          <w:p w14:paraId="59DE5B21" w14:textId="76823480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1B0F14"/>
              </w:rPr>
            </w:pPr>
            <w:r w:rsidRPr="00A93FAE">
              <w:rPr>
                <w:rFonts w:ascii="Times New Roman" w:hAnsi="Times New Roman"/>
                <w:color w:val="1B0F14"/>
                <w:u w:val="single"/>
              </w:rPr>
              <w:t>Úloha pre žiakov:</w:t>
            </w:r>
            <w:r w:rsidRPr="00B15935">
              <w:rPr>
                <w:rFonts w:ascii="Times New Roman" w:hAnsi="Times New Roman"/>
                <w:color w:val="1B0F14"/>
              </w:rPr>
              <w:t xml:space="preserve"> </w:t>
            </w:r>
            <w:r w:rsidR="00B15935">
              <w:rPr>
                <w:rFonts w:ascii="Times New Roman" w:hAnsi="Times New Roman"/>
                <w:color w:val="1B0F14"/>
              </w:rPr>
              <w:t>Žiaci pracujú so získanými informáciami</w:t>
            </w:r>
            <w:r w:rsidRPr="00A93FAE">
              <w:rPr>
                <w:rFonts w:ascii="Times New Roman" w:hAnsi="Times New Roman"/>
                <w:color w:val="1B0F14"/>
              </w:rPr>
              <w:t xml:space="preserve">, </w:t>
            </w:r>
            <w:r w:rsidR="00B15935">
              <w:rPr>
                <w:rFonts w:ascii="Times New Roman" w:hAnsi="Times New Roman"/>
                <w:color w:val="1B0F14"/>
              </w:rPr>
              <w:t xml:space="preserve">vyučujúci </w:t>
            </w:r>
            <w:r w:rsidRPr="00A93FAE">
              <w:rPr>
                <w:rFonts w:ascii="Times New Roman" w:hAnsi="Times New Roman"/>
                <w:color w:val="1B0F14"/>
              </w:rPr>
              <w:t xml:space="preserve">vysvetľuje podstatu a princíp fungovania poistenia so zameraním na typy poistenia. Frontálnymi otázkami </w:t>
            </w:r>
            <w:r w:rsidR="00B15935">
              <w:rPr>
                <w:rFonts w:ascii="Times New Roman" w:hAnsi="Times New Roman"/>
                <w:color w:val="1B0F14"/>
              </w:rPr>
              <w:t>učiteľ</w:t>
            </w:r>
            <w:r w:rsidRPr="00A93FAE">
              <w:rPr>
                <w:rFonts w:ascii="Times New Roman" w:hAnsi="Times New Roman"/>
                <w:color w:val="1B0F14"/>
              </w:rPr>
              <w:t xml:space="preserve"> zisťuje, či žiaci ovládajú teoretické vedomosti z práve osvojenej látky.</w:t>
            </w:r>
          </w:p>
          <w:p w14:paraId="0821ECEA" w14:textId="77777777" w:rsidR="00A93FAE" w:rsidRDefault="00A93FAE" w:rsidP="0053326D">
            <w:pPr>
              <w:pStyle w:val="NoSpacing"/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</w:p>
          <w:p w14:paraId="3732B305" w14:textId="161673B6" w:rsidR="00A93FAE" w:rsidRPr="00A93FAE" w:rsidRDefault="00A93FAE" w:rsidP="00027A0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1B0F14"/>
                <w:lang w:eastAsia="sk-SK"/>
              </w:rPr>
            </w:pPr>
            <w:r w:rsidRPr="00A93FAE">
              <w:rPr>
                <w:rFonts w:ascii="Times New Roman" w:eastAsia="Times New Roman" w:hAnsi="Times New Roman"/>
                <w:color w:val="1B0F14"/>
                <w:lang w:eastAsia="sk-SK"/>
              </w:rPr>
              <w:t>Fixačná fáza:</w:t>
            </w:r>
          </w:p>
          <w:p w14:paraId="2F0A89F4" w14:textId="17AAC14E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1B0F14"/>
              </w:rPr>
            </w:pPr>
            <w:r w:rsidRPr="00A93FAE">
              <w:rPr>
                <w:rFonts w:ascii="Times New Roman" w:hAnsi="Times New Roman"/>
                <w:color w:val="1B0F14"/>
                <w:u w:val="single"/>
              </w:rPr>
              <w:t>Metódy:</w:t>
            </w:r>
            <w:r w:rsidRPr="0053326D">
              <w:rPr>
                <w:rFonts w:ascii="Times New Roman" w:hAnsi="Times New Roman"/>
                <w:color w:val="1B0F14"/>
              </w:rPr>
              <w:t xml:space="preserve">  </w:t>
            </w:r>
            <w:r w:rsidRPr="00A93FAE">
              <w:rPr>
                <w:rFonts w:ascii="Times New Roman" w:hAnsi="Times New Roman"/>
                <w:color w:val="1B0F14"/>
              </w:rPr>
              <w:t>situačná metóda</w:t>
            </w:r>
          </w:p>
          <w:p w14:paraId="0EB75250" w14:textId="77777777" w:rsidR="00B15935" w:rsidRDefault="00A93FAE" w:rsidP="0053326D">
            <w:pPr>
              <w:pStyle w:val="NoSpacing"/>
              <w:jc w:val="both"/>
              <w:rPr>
                <w:rFonts w:ascii="Times New Roman" w:hAnsi="Times New Roman"/>
                <w:u w:val="single"/>
              </w:rPr>
            </w:pPr>
            <w:r w:rsidRPr="00A93FAE">
              <w:rPr>
                <w:rFonts w:ascii="Times New Roman" w:hAnsi="Times New Roman"/>
                <w:color w:val="1B0F14"/>
                <w:u w:val="single"/>
              </w:rPr>
              <w:t>Pomôcky</w:t>
            </w:r>
            <w:r w:rsidRPr="00A93FAE">
              <w:rPr>
                <w:rFonts w:ascii="Times New Roman" w:hAnsi="Times New Roman"/>
                <w:color w:val="1B0F14"/>
              </w:rPr>
              <w:t xml:space="preserve">: </w:t>
            </w:r>
            <w:r w:rsidR="00B15935">
              <w:rPr>
                <w:rFonts w:ascii="Times New Roman" w:hAnsi="Times New Roman"/>
                <w:color w:val="1B0F14"/>
              </w:rPr>
              <w:t>internetové pripojenie, webové stránky cestovných kancelárii, stránky poistení</w:t>
            </w:r>
            <w:r w:rsidR="00B15935" w:rsidRPr="00A93FAE">
              <w:rPr>
                <w:rFonts w:ascii="Times New Roman" w:hAnsi="Times New Roman"/>
                <w:u w:val="single"/>
              </w:rPr>
              <w:t xml:space="preserve"> </w:t>
            </w:r>
          </w:p>
          <w:p w14:paraId="3DC963E9" w14:textId="6E60B2C6" w:rsidR="00A93FAE" w:rsidRPr="0053326D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1B0F14"/>
              </w:rPr>
            </w:pPr>
            <w:r w:rsidRPr="00A93FAE">
              <w:rPr>
                <w:rFonts w:ascii="Times New Roman" w:hAnsi="Times New Roman"/>
                <w:u w:val="single"/>
              </w:rPr>
              <w:t>Aktivita:</w:t>
            </w:r>
            <w:r w:rsidRPr="00A93FAE">
              <w:rPr>
                <w:rFonts w:ascii="Times New Roman" w:hAnsi="Times New Roman"/>
              </w:rPr>
              <w:t xml:space="preserve"> </w:t>
            </w:r>
            <w:r w:rsidRPr="00A93FAE">
              <w:rPr>
                <w:rFonts w:ascii="Times New Roman" w:hAnsi="Times New Roman"/>
                <w:i/>
              </w:rPr>
              <w:t>Pre istotu!</w:t>
            </w:r>
          </w:p>
          <w:p w14:paraId="720AB171" w14:textId="77777777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93FAE">
              <w:rPr>
                <w:rFonts w:ascii="Times New Roman" w:hAnsi="Times New Roman"/>
              </w:rPr>
              <w:t xml:space="preserve">Postup: </w:t>
            </w:r>
          </w:p>
          <w:p w14:paraId="1F46270D" w14:textId="2D8F0E7E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93FAE">
              <w:rPr>
                <w:rFonts w:ascii="Times New Roman" w:hAnsi="Times New Roman"/>
              </w:rPr>
              <w:t>Žiaci pracujú v dvojiciach. Každá dvojica si vyberie jednu krajinu, miesto.</w:t>
            </w:r>
          </w:p>
          <w:p w14:paraId="101DC9DB" w14:textId="77777777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93FAE">
              <w:rPr>
                <w:rFonts w:ascii="Times New Roman" w:hAnsi="Times New Roman"/>
              </w:rPr>
              <w:t>Žiaci v priebehu 10 minút musia zvážiť možné riziká a navrhnúť ideálne možné poistenie, ktoré zaručí pokojný priebeh dovolenky a šťastný návrat domov i v prípade nehody.</w:t>
            </w:r>
          </w:p>
          <w:p w14:paraId="61D5877C" w14:textId="4B9A1746" w:rsidR="00A93FAE" w:rsidRDefault="00A93FAE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93FAE">
              <w:rPr>
                <w:rFonts w:ascii="Times New Roman" w:hAnsi="Times New Roman"/>
              </w:rPr>
              <w:t>Žiaci prezentujú svoj návrh triede, vysvetľujú, aké možné riziká brali do úvahy a prečo. Môže sa rozbehnúť diskusia, pokiaľ má niektorý zo spolužiakov odlišný alebo doplňujúci návrh.</w:t>
            </w:r>
          </w:p>
          <w:p w14:paraId="717BB93C" w14:textId="691CA2E5" w:rsidR="002B41EF" w:rsidRDefault="002B41EF" w:rsidP="002B41E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Zhrnutie a zhodnotenie hodiny:</w:t>
            </w:r>
          </w:p>
          <w:p w14:paraId="0AA22A93" w14:textId="425BA838" w:rsidR="002B41EF" w:rsidRPr="00A93FAE" w:rsidRDefault="002B41EF" w:rsidP="002B41EF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Učiteľ zhrnie poznatky z hodiny, zhodnotí prácu žiakov a klímu v triede.</w:t>
            </w:r>
          </w:p>
          <w:p w14:paraId="3EC5F68B" w14:textId="3BAEF0A3" w:rsidR="00A93FAE" w:rsidRPr="00A93FAE" w:rsidRDefault="00A93FAE" w:rsidP="0053326D">
            <w:pPr>
              <w:pStyle w:val="NoSpacing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7A27BA0C" w:rsidR="00F305BB" w:rsidRPr="002A4890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53326D">
              <w:rPr>
                <w:rFonts w:ascii="Times New Roman" w:hAnsi="Times New Roman"/>
                <w:b/>
              </w:rPr>
              <w:t>Členovia pedagogického klubu pripravovali otvorenú hodinu finančnej gramotnosti na tému: Riadenie osobných financií. Aktivita bola zameraná krátkodobú investíciu do poistenia v prípade výberu dovolenky.</w:t>
            </w:r>
            <w:r w:rsidR="00027A00">
              <w:rPr>
                <w:rFonts w:ascii="Times New Roman" w:hAnsi="Times New Roman"/>
                <w:b/>
              </w:rPr>
              <w:t xml:space="preserve"> Členovia predostreli rôzne návrhy</w:t>
            </w:r>
            <w:r w:rsidR="00321C89">
              <w:rPr>
                <w:rFonts w:ascii="Times New Roman" w:hAnsi="Times New Roman"/>
                <w:b/>
              </w:rPr>
              <w:t>,</w:t>
            </w:r>
            <w:r w:rsidR="00027A00">
              <w:rPr>
                <w:rFonts w:ascii="Times New Roman" w:hAnsi="Times New Roman"/>
                <w:b/>
              </w:rPr>
              <w:t xml:space="preserve"> na základe ktorých v rámci diskusia vznikol plán hodiny.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4D6CE75D" w:rsidR="00E376F0" w:rsidRPr="000A30EC" w:rsidRDefault="009817F2" w:rsidP="00027A00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A47DB9">
              <w:rPr>
                <w:rFonts w:ascii="Times New Roman" w:hAnsi="Times New Roman"/>
                <w:b/>
              </w:rPr>
              <w:t xml:space="preserve">Členovia </w:t>
            </w:r>
            <w:r w:rsidR="0053326D">
              <w:rPr>
                <w:rFonts w:ascii="Times New Roman" w:hAnsi="Times New Roman"/>
                <w:b/>
              </w:rPr>
              <w:t>pedagogického klubu vytvorili hodinu</w:t>
            </w:r>
            <w:r w:rsidR="00027A00">
              <w:rPr>
                <w:rFonts w:ascii="Times New Roman" w:hAnsi="Times New Roman"/>
                <w:b/>
              </w:rPr>
              <w:t xml:space="preserve"> finančnej gramotnosti zameranú na krátkodobé rodinné investovanie, týkajúce sa poistenia na dovolenke. </w:t>
            </w:r>
            <w:r w:rsidR="00B15935">
              <w:rPr>
                <w:rFonts w:ascii="Times New Roman" w:hAnsi="Times New Roman"/>
                <w:b/>
              </w:rPr>
              <w:t>Na najbližšia hodine finančnej gramotnosti bude použitá vytvorená metodika. Hodin</w:t>
            </w:r>
            <w:r w:rsidR="002B41EF">
              <w:rPr>
                <w:rFonts w:ascii="Times New Roman" w:hAnsi="Times New Roman"/>
                <w:b/>
              </w:rPr>
              <w:t>a bude otvorená pre členov pedagogického klubu. Tí následne na najbližšom stretnutí danú hodinu zreflektujú.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417377B8" w:rsidR="00F305BB" w:rsidRPr="007B6C7D" w:rsidRDefault="0098692D" w:rsidP="007B6C7D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C19D1">
              <w:t>.</w:t>
            </w:r>
            <w:r>
              <w:t>4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5E220239" w:rsidR="00DF1627" w:rsidRPr="007B6C7D" w:rsidRDefault="0098692D" w:rsidP="00993711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1B07BD">
              <w:t>.</w:t>
            </w:r>
            <w:r>
              <w:t>4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014B618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52F0DE5C" w:rsidR="00F305BB" w:rsidRDefault="00F305BB" w:rsidP="00D0796E">
      <w:r>
        <w:t>Dátum konania stretnutia:</w:t>
      </w:r>
      <w:r w:rsidR="00121E7B">
        <w:t xml:space="preserve"> </w:t>
      </w:r>
      <w:r w:rsidR="0098692D">
        <w:rPr>
          <w:b/>
        </w:rPr>
        <w:t>14</w:t>
      </w:r>
      <w:r w:rsidR="00DD4269">
        <w:rPr>
          <w:b/>
        </w:rPr>
        <w:t>.</w:t>
      </w:r>
      <w:r w:rsidR="0098692D">
        <w:rPr>
          <w:b/>
        </w:rPr>
        <w:t>4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9F423D"/>
    <w:multiLevelType w:val="hybridMultilevel"/>
    <w:tmpl w:val="881AEB02"/>
    <w:lvl w:ilvl="0" w:tplc="4886A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B00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F7544"/>
    <w:multiLevelType w:val="hybridMultilevel"/>
    <w:tmpl w:val="9072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481"/>
    <w:multiLevelType w:val="hybridMultilevel"/>
    <w:tmpl w:val="5FF6B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27A00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97243"/>
    <w:rsid w:val="002A4890"/>
    <w:rsid w:val="002B41EF"/>
    <w:rsid w:val="002D7F9B"/>
    <w:rsid w:val="002D7FC6"/>
    <w:rsid w:val="002E3894"/>
    <w:rsid w:val="002E3F1A"/>
    <w:rsid w:val="00321C89"/>
    <w:rsid w:val="003304A9"/>
    <w:rsid w:val="0034733D"/>
    <w:rsid w:val="003700F7"/>
    <w:rsid w:val="00374F0C"/>
    <w:rsid w:val="003876CE"/>
    <w:rsid w:val="00390E1A"/>
    <w:rsid w:val="00390FFC"/>
    <w:rsid w:val="003A39FB"/>
    <w:rsid w:val="003E1A92"/>
    <w:rsid w:val="003F10E0"/>
    <w:rsid w:val="004108EF"/>
    <w:rsid w:val="00423CC3"/>
    <w:rsid w:val="00446402"/>
    <w:rsid w:val="00452814"/>
    <w:rsid w:val="004631AB"/>
    <w:rsid w:val="004C05D7"/>
    <w:rsid w:val="004D0A96"/>
    <w:rsid w:val="004F368A"/>
    <w:rsid w:val="0050656D"/>
    <w:rsid w:val="00507481"/>
    <w:rsid w:val="00507CF5"/>
    <w:rsid w:val="005255F2"/>
    <w:rsid w:val="0053326D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817F2"/>
    <w:rsid w:val="0098692D"/>
    <w:rsid w:val="00993711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9043F"/>
    <w:rsid w:val="00A93FAE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15935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1825-96EB-4B65-88D7-CF3CA160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4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2020-11-19T08:24:00Z</cp:lastPrinted>
  <dcterms:created xsi:type="dcterms:W3CDTF">2023-02-15T19:27:00Z</dcterms:created>
  <dcterms:modified xsi:type="dcterms:W3CDTF">2023-02-15T19:27:00Z</dcterms:modified>
</cp:coreProperties>
</file>